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0FE57" w14:textId="3260DF5F" w:rsidR="00104B3C" w:rsidRPr="004002DF" w:rsidRDefault="00104B3C" w:rsidP="004504D7">
      <w:pPr>
        <w:spacing w:after="240" w:line="276" w:lineRule="auto"/>
        <w:jc w:val="center"/>
        <w:rPr>
          <w:rFonts w:ascii="Times New Roman" w:hAnsi="Times New Roman" w:cs="Times New Roman"/>
          <w:b/>
          <w:bCs/>
          <w:lang w:val="cs-CZ"/>
        </w:rPr>
      </w:pPr>
      <w:bookmarkStart w:id="0" w:name="_Hlk200544813"/>
      <w:r w:rsidRPr="004002DF">
        <w:rPr>
          <w:rFonts w:ascii="Times New Roman" w:hAnsi="Times New Roman" w:cs="Times New Roman"/>
          <w:b/>
          <w:bCs/>
          <w:sz w:val="28"/>
          <w:szCs w:val="28"/>
          <w:lang w:val="cs-CZ"/>
        </w:rPr>
        <w:t>Požadavky na žádost o povolení použít pro humánní použití</w:t>
      </w: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Pr="004002DF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fágovou léčivou látku pro </w:t>
      </w: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t>přípravu individuálně připravovaného léčivého přípravku (</w:t>
      </w:r>
      <w:r w:rsidRPr="004002DF">
        <w:rPr>
          <w:rFonts w:ascii="Times New Roman" w:hAnsi="Times New Roman" w:cs="Times New Roman"/>
          <w:b/>
          <w:bCs/>
          <w:sz w:val="28"/>
          <w:szCs w:val="28"/>
          <w:lang w:val="cs-CZ"/>
        </w:rPr>
        <w:t>IPLP</w:t>
      </w: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t>)</w:t>
      </w:r>
    </w:p>
    <w:bookmarkEnd w:id="0"/>
    <w:p w14:paraId="00CCDA85" w14:textId="21BC51D2" w:rsidR="00104B3C" w:rsidRPr="004504D7" w:rsidRDefault="00104B3C" w:rsidP="004504D7">
      <w:pPr>
        <w:pStyle w:val="Odstavecseseznamem"/>
        <w:numPr>
          <w:ilvl w:val="0"/>
          <w:numId w:val="2"/>
        </w:numPr>
        <w:spacing w:after="120" w:line="276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b/>
          <w:bCs/>
          <w:u w:val="single"/>
          <w:lang w:val="cs-CZ"/>
        </w:rPr>
      </w:pPr>
      <w:r w:rsidRPr="004002DF">
        <w:rPr>
          <w:rFonts w:ascii="Times New Roman" w:eastAsia="Times New Roman" w:hAnsi="Times New Roman" w:cs="Times New Roman"/>
          <w:b/>
          <w:bCs/>
          <w:u w:val="single"/>
          <w:lang w:val="cs-CZ"/>
        </w:rPr>
        <w:t>Požadavky na kvalitu</w:t>
      </w:r>
    </w:p>
    <w:p w14:paraId="4DE7C2A2" w14:textId="78810CF7" w:rsidR="00104B3C" w:rsidRPr="004002DF" w:rsidRDefault="00104B3C" w:rsidP="004504D7">
      <w:pPr>
        <w:pStyle w:val="Odstavecseseznamem"/>
        <w:numPr>
          <w:ilvl w:val="0"/>
          <w:numId w:val="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lang w:val="cs-CZ"/>
        </w:rPr>
      </w:pPr>
      <w:r w:rsidRPr="004002DF">
        <w:rPr>
          <w:rFonts w:ascii="Times New Roman" w:eastAsia="Times New Roman" w:hAnsi="Times New Roman" w:cs="Times New Roman"/>
          <w:b/>
          <w:bCs/>
          <w:lang w:val="cs-CZ"/>
        </w:rPr>
        <w:t>Jednoznačné určení léčivé látky</w:t>
      </w:r>
      <w:r w:rsidRPr="004002DF">
        <w:rPr>
          <w:rFonts w:ascii="Times New Roman" w:eastAsia="Times New Roman" w:hAnsi="Times New Roman" w:cs="Times New Roman"/>
          <w:lang w:val="cs-CZ"/>
        </w:rPr>
        <w:t xml:space="preserve">, tedy obsaženého bakteriofága (například kódem výrobce).  </w:t>
      </w:r>
    </w:p>
    <w:p w14:paraId="4F22A209" w14:textId="2AFE2543" w:rsidR="00104B3C" w:rsidRPr="004002DF" w:rsidRDefault="00104B3C" w:rsidP="00104B3C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lang w:val="cs-CZ"/>
        </w:rPr>
      </w:pPr>
      <w:r w:rsidRPr="004002DF">
        <w:rPr>
          <w:rFonts w:ascii="Times New Roman" w:eastAsia="Times New Roman" w:hAnsi="Times New Roman" w:cs="Times New Roman"/>
          <w:b/>
          <w:bCs/>
          <w:lang w:val="cs-CZ"/>
        </w:rPr>
        <w:t>Předložení certifikátu analýzy a specifikace léčivé látky</w:t>
      </w:r>
      <w:r w:rsidRPr="004002DF">
        <w:rPr>
          <w:rFonts w:ascii="Times New Roman" w:eastAsia="Times New Roman" w:hAnsi="Times New Roman" w:cs="Times New Roman"/>
          <w:lang w:val="cs-CZ"/>
        </w:rPr>
        <w:t xml:space="preserve"> vyhovující doporučením Evropského lékopisu</w:t>
      </w:r>
      <w:r w:rsidR="00946FFB">
        <w:rPr>
          <w:rFonts w:ascii="Times New Roman" w:eastAsia="Times New Roman" w:hAnsi="Times New Roman" w:cs="Times New Roman"/>
          <w:lang w:val="cs-CZ"/>
        </w:rPr>
        <w:t xml:space="preserve"> (</w:t>
      </w:r>
      <w:proofErr w:type="spellStart"/>
      <w:r w:rsidR="00946FFB" w:rsidRPr="004002DF">
        <w:rPr>
          <w:rFonts w:ascii="Times New Roman" w:eastAsia="Times New Roman" w:hAnsi="Times New Roman" w:cs="Times New Roman"/>
          <w:lang w:val="cs-CZ"/>
        </w:rPr>
        <w:t>Ph</w:t>
      </w:r>
      <w:proofErr w:type="spellEnd"/>
      <w:r w:rsidR="00946FFB" w:rsidRPr="004002DF">
        <w:rPr>
          <w:rFonts w:ascii="Times New Roman" w:eastAsia="Times New Roman" w:hAnsi="Times New Roman" w:cs="Times New Roman"/>
          <w:lang w:val="cs-CZ"/>
        </w:rPr>
        <w:t>. Eur.</w:t>
      </w:r>
      <w:r w:rsidR="00946FFB">
        <w:rPr>
          <w:rFonts w:ascii="Times New Roman" w:eastAsia="Times New Roman" w:hAnsi="Times New Roman" w:cs="Times New Roman"/>
          <w:lang w:val="cs-CZ"/>
        </w:rPr>
        <w:t>)</w:t>
      </w:r>
      <w:r w:rsidRPr="004002DF">
        <w:rPr>
          <w:rFonts w:ascii="Times New Roman" w:eastAsia="Times New Roman" w:hAnsi="Times New Roman" w:cs="Times New Roman"/>
          <w:lang w:val="cs-CZ"/>
        </w:rPr>
        <w:t xml:space="preserve"> </w:t>
      </w:r>
      <w:r w:rsidRPr="004002DF">
        <w:rPr>
          <w:rFonts w:ascii="Times New Roman" w:eastAsia="Times New Roman" w:hAnsi="Times New Roman" w:cs="Times New Roman"/>
          <w:i/>
          <w:iCs/>
          <w:lang w:val="cs-CZ"/>
        </w:rPr>
        <w:t>5.31 Léčivé přípravky pro fágovou terapii</w:t>
      </w:r>
      <w:r w:rsidRPr="004002DF">
        <w:rPr>
          <w:rFonts w:ascii="Times New Roman" w:eastAsia="Times New Roman" w:hAnsi="Times New Roman" w:cs="Times New Roman"/>
          <w:lang w:val="cs-CZ"/>
        </w:rPr>
        <w:t xml:space="preserve">. V případě léčivých látek pro přípravu sterilních přípravků musí být proveden test na sterilitu léčivé látky. </w:t>
      </w:r>
    </w:p>
    <w:p w14:paraId="7EAF08C2" w14:textId="6D5C75EA" w:rsidR="00104B3C" w:rsidRPr="004002DF" w:rsidRDefault="00104B3C" w:rsidP="00104B3C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lang w:val="cs-CZ"/>
        </w:rPr>
      </w:pPr>
      <w:r w:rsidRPr="004002DF">
        <w:rPr>
          <w:rFonts w:ascii="Times New Roman" w:eastAsia="Times New Roman" w:hAnsi="Times New Roman" w:cs="Times New Roman"/>
          <w:b/>
          <w:bCs/>
          <w:lang w:val="cs-CZ"/>
        </w:rPr>
        <w:t>Požadované testy ve specifikaci</w:t>
      </w:r>
      <w:r w:rsidR="00D23E6F">
        <w:rPr>
          <w:rFonts w:ascii="Times New Roman" w:eastAsia="Times New Roman" w:hAnsi="Times New Roman" w:cs="Times New Roman"/>
          <w:b/>
          <w:bCs/>
          <w:lang w:val="cs-CZ"/>
        </w:rPr>
        <w:t xml:space="preserve"> léčivé látky</w:t>
      </w:r>
      <w:r w:rsidRPr="004002DF">
        <w:rPr>
          <w:rFonts w:ascii="Times New Roman" w:eastAsia="Times New Roman" w:hAnsi="Times New Roman" w:cs="Times New Roman"/>
          <w:b/>
          <w:bCs/>
          <w:lang w:val="cs-CZ"/>
        </w:rPr>
        <w:t>:</w:t>
      </w:r>
      <w:r w:rsidRPr="004002DF">
        <w:rPr>
          <w:rFonts w:ascii="Times New Roman" w:eastAsia="Times New Roman" w:hAnsi="Times New Roman" w:cs="Times New Roman"/>
          <w:lang w:val="cs-CZ"/>
        </w:rPr>
        <w:t xml:space="preserve"> vzhled, identita, účinnost, mikrobiologická čistota/ sterilita, test na endotoxiny či jiné pyrogeny v souladu s článkem </w:t>
      </w:r>
      <w:proofErr w:type="spellStart"/>
      <w:r w:rsidRPr="004002DF">
        <w:rPr>
          <w:rFonts w:ascii="Times New Roman" w:eastAsia="Times New Roman" w:hAnsi="Times New Roman" w:cs="Times New Roman"/>
          <w:lang w:val="cs-CZ"/>
        </w:rPr>
        <w:t>Ph</w:t>
      </w:r>
      <w:proofErr w:type="spellEnd"/>
      <w:r w:rsidRPr="004002DF">
        <w:rPr>
          <w:rFonts w:ascii="Times New Roman" w:eastAsia="Times New Roman" w:hAnsi="Times New Roman" w:cs="Times New Roman"/>
          <w:lang w:val="cs-CZ"/>
        </w:rPr>
        <w:t xml:space="preserve">. Eur. </w:t>
      </w:r>
      <w:r w:rsidRPr="00950BD4">
        <w:rPr>
          <w:rFonts w:ascii="Times New Roman" w:eastAsia="Times New Roman" w:hAnsi="Times New Roman" w:cs="Times New Roman"/>
          <w:i/>
          <w:iCs/>
          <w:lang w:val="cs-CZ"/>
        </w:rPr>
        <w:t>5.1.13</w:t>
      </w:r>
      <w:r w:rsidR="00084869">
        <w:rPr>
          <w:rFonts w:ascii="Times New Roman" w:eastAsia="Times New Roman" w:hAnsi="Times New Roman" w:cs="Times New Roman"/>
          <w:i/>
          <w:iCs/>
          <w:lang w:val="cs-CZ"/>
        </w:rPr>
        <w:t xml:space="preserve"> </w:t>
      </w:r>
      <w:proofErr w:type="spellStart"/>
      <w:r w:rsidR="00084869">
        <w:rPr>
          <w:rFonts w:ascii="Times New Roman" w:eastAsia="Times New Roman" w:hAnsi="Times New Roman" w:cs="Times New Roman"/>
          <w:i/>
          <w:iCs/>
          <w:lang w:val="cs-CZ"/>
        </w:rPr>
        <w:t>Pyrogenita</w:t>
      </w:r>
      <w:proofErr w:type="spellEnd"/>
      <w:r w:rsidRPr="00950BD4">
        <w:rPr>
          <w:rFonts w:ascii="Times New Roman" w:eastAsia="Times New Roman" w:hAnsi="Times New Roman" w:cs="Times New Roman"/>
          <w:i/>
          <w:iCs/>
          <w:lang w:val="cs-CZ"/>
        </w:rPr>
        <w:t xml:space="preserve">, </w:t>
      </w:r>
      <w:r w:rsidRPr="00E3402E">
        <w:rPr>
          <w:rFonts w:ascii="Times New Roman" w:eastAsia="Times New Roman" w:hAnsi="Times New Roman" w:cs="Times New Roman"/>
          <w:lang w:val="cs-CZ"/>
        </w:rPr>
        <w:t>stanovení procesních nečistot</w:t>
      </w:r>
      <w:r w:rsidRPr="004002DF">
        <w:rPr>
          <w:rFonts w:ascii="Times New Roman" w:eastAsia="Times New Roman" w:hAnsi="Times New Roman" w:cs="Times New Roman"/>
          <w:lang w:val="cs-CZ"/>
        </w:rPr>
        <w:t xml:space="preserve"> (zbytkové bakteriální proteiny, zbytková DNA); podle lékové formy případně stanovení obsahu vody nebo hodnoty pH. </w:t>
      </w:r>
    </w:p>
    <w:p w14:paraId="1BF00459" w14:textId="77777777" w:rsidR="00104B3C" w:rsidRPr="004002DF" w:rsidRDefault="00104B3C" w:rsidP="00104B3C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val="cs-CZ"/>
        </w:rPr>
      </w:pPr>
      <w:r w:rsidRPr="004002DF">
        <w:rPr>
          <w:rFonts w:ascii="Times New Roman" w:eastAsia="Times New Roman" w:hAnsi="Times New Roman" w:cs="Times New Roman"/>
          <w:b/>
          <w:bCs/>
          <w:lang w:val="cs-CZ"/>
        </w:rPr>
        <w:t xml:space="preserve">Průkaz citlivosti bakterií v klinickém izolátu pacienta na bakteriofága v předmětné léčivé látce. </w:t>
      </w:r>
    </w:p>
    <w:p w14:paraId="61E38633" w14:textId="77777777" w:rsidR="00104B3C" w:rsidRPr="004002DF" w:rsidRDefault="00104B3C" w:rsidP="00104B3C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lang w:val="cs-CZ"/>
        </w:rPr>
      </w:pPr>
      <w:r w:rsidRPr="004002DF">
        <w:rPr>
          <w:rFonts w:ascii="Times New Roman" w:eastAsia="Times New Roman" w:hAnsi="Times New Roman" w:cs="Times New Roman"/>
          <w:b/>
          <w:bCs/>
          <w:lang w:val="cs-CZ"/>
        </w:rPr>
        <w:t>Charakterizace bakteriofága a produkčního bakteriálního kmene</w:t>
      </w:r>
      <w:r w:rsidRPr="004002DF">
        <w:rPr>
          <w:rFonts w:ascii="Times New Roman" w:eastAsia="Times New Roman" w:hAnsi="Times New Roman" w:cs="Times New Roman"/>
          <w:lang w:val="cs-CZ"/>
        </w:rPr>
        <w:t xml:space="preserve"> – stanovení citlivosti, genetická analýza včetně průkazu nepřítomnosti genů pro antibiotickou resistenci, či jiné </w:t>
      </w:r>
      <w:proofErr w:type="spellStart"/>
      <w:r w:rsidRPr="004002DF">
        <w:rPr>
          <w:rFonts w:ascii="Times New Roman" w:eastAsia="Times New Roman" w:hAnsi="Times New Roman" w:cs="Times New Roman"/>
          <w:lang w:val="cs-CZ"/>
        </w:rPr>
        <w:t>virulenční</w:t>
      </w:r>
      <w:proofErr w:type="spellEnd"/>
      <w:r w:rsidRPr="004002DF">
        <w:rPr>
          <w:rFonts w:ascii="Times New Roman" w:eastAsia="Times New Roman" w:hAnsi="Times New Roman" w:cs="Times New Roman"/>
          <w:lang w:val="cs-CZ"/>
        </w:rPr>
        <w:t xml:space="preserve"> faktory, absence profágů v produkčním kmeni (a pokud to není možné, musí být známa nukleotidová sekvence profágů, aby mohla být doložena absence kontaminujících fágů v léčivé látce), absence kontaminujících fágů v bakteriálních bankách a fágových inokulech. </w:t>
      </w:r>
    </w:p>
    <w:p w14:paraId="70A03162" w14:textId="77777777" w:rsidR="00104B3C" w:rsidRPr="004002DF" w:rsidRDefault="00104B3C" w:rsidP="00104B3C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lang w:val="cs-CZ"/>
        </w:rPr>
      </w:pPr>
      <w:r w:rsidRPr="004002DF">
        <w:rPr>
          <w:rFonts w:ascii="Times New Roman" w:eastAsia="Times New Roman" w:hAnsi="Times New Roman" w:cs="Times New Roman"/>
          <w:b/>
          <w:bCs/>
          <w:lang w:val="cs-CZ"/>
        </w:rPr>
        <w:t>Popis výrobního procesu a jeho kontroly</w:t>
      </w:r>
      <w:r w:rsidRPr="004002DF">
        <w:rPr>
          <w:rFonts w:ascii="Times New Roman" w:eastAsia="Times New Roman" w:hAnsi="Times New Roman" w:cs="Times New Roman"/>
          <w:lang w:val="cs-CZ"/>
        </w:rPr>
        <w:t xml:space="preserve"> odpovídající sekcím S.2.2 a S.2.4 formátu CTD včetně identifikace použité bakteriální banky a fágového inokula. Součástí popisu by měl být procesní diagram zahrnující veškeré kultivační, purifikační a ostatní výrobní kroky.</w:t>
      </w:r>
    </w:p>
    <w:p w14:paraId="4C937B28" w14:textId="02D46843" w:rsidR="00104B3C" w:rsidRPr="004002DF" w:rsidRDefault="00104B3C" w:rsidP="00104B3C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lang w:val="cs-CZ"/>
        </w:rPr>
      </w:pPr>
      <w:r w:rsidRPr="004002DF">
        <w:rPr>
          <w:rFonts w:ascii="Times New Roman" w:eastAsia="Times New Roman" w:hAnsi="Times New Roman" w:cs="Times New Roman"/>
          <w:b/>
          <w:bCs/>
          <w:lang w:val="cs-CZ"/>
        </w:rPr>
        <w:t>Určení doby použitelnosti léčivé látky.</w:t>
      </w:r>
      <w:r w:rsidRPr="004002DF">
        <w:rPr>
          <w:rFonts w:ascii="Times New Roman" w:eastAsia="Times New Roman" w:hAnsi="Times New Roman" w:cs="Times New Roman"/>
          <w:lang w:val="cs-CZ"/>
        </w:rPr>
        <w:t xml:space="preserve"> V případě absence vhodných stabilitních dat je požadováno zahájení stabilitní studie s šarží léčivé látky (od výroby minimálně po skončení léčby) a je uložena povinnost hlášení výsledků mimo specifikace (OOS) </w:t>
      </w:r>
      <w:r w:rsidR="00690B75">
        <w:rPr>
          <w:rFonts w:ascii="Times New Roman" w:eastAsia="Times New Roman" w:hAnsi="Times New Roman" w:cs="Times New Roman"/>
          <w:lang w:val="cs-CZ"/>
        </w:rPr>
        <w:t xml:space="preserve">Státnímu </w:t>
      </w:r>
      <w:r w:rsidR="00946FFB">
        <w:rPr>
          <w:rFonts w:ascii="Times New Roman" w:eastAsia="Times New Roman" w:hAnsi="Times New Roman" w:cs="Times New Roman"/>
          <w:lang w:val="cs-CZ"/>
        </w:rPr>
        <w:t>ústavu pro kontrolu léčiv</w:t>
      </w:r>
      <w:r w:rsidR="00153C5B">
        <w:rPr>
          <w:rFonts w:ascii="Times New Roman" w:eastAsia="Times New Roman" w:hAnsi="Times New Roman" w:cs="Times New Roman"/>
          <w:lang w:val="cs-CZ"/>
        </w:rPr>
        <w:t xml:space="preserve"> (SÚKL)</w:t>
      </w:r>
      <w:r w:rsidRPr="004002DF">
        <w:rPr>
          <w:rFonts w:ascii="Times New Roman" w:eastAsia="Times New Roman" w:hAnsi="Times New Roman" w:cs="Times New Roman"/>
          <w:lang w:val="cs-CZ"/>
        </w:rPr>
        <w:t>.</w:t>
      </w:r>
    </w:p>
    <w:p w14:paraId="50E87F6D" w14:textId="4AAC9F67" w:rsidR="00104B3C" w:rsidRPr="004002DF" w:rsidRDefault="00104B3C" w:rsidP="00104B3C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lang w:val="cs-CZ"/>
        </w:rPr>
      </w:pPr>
      <w:r w:rsidRPr="004002DF">
        <w:rPr>
          <w:rFonts w:ascii="Times New Roman" w:eastAsia="Times New Roman" w:hAnsi="Times New Roman" w:cs="Times New Roman"/>
          <w:b/>
          <w:bCs/>
          <w:lang w:val="cs-CZ"/>
        </w:rPr>
        <w:t>Určení doby použitelnosti připraveného IPLP</w:t>
      </w:r>
      <w:r w:rsidRPr="004002DF">
        <w:rPr>
          <w:rFonts w:ascii="Times New Roman" w:eastAsia="Times New Roman" w:hAnsi="Times New Roman" w:cs="Times New Roman"/>
          <w:lang w:val="cs-CZ"/>
        </w:rPr>
        <w:t>.</w:t>
      </w:r>
    </w:p>
    <w:p w14:paraId="3E2DE2F7" w14:textId="3024EBBA" w:rsidR="00104B3C" w:rsidRPr="003522AE" w:rsidRDefault="0023524E" w:rsidP="004504D7">
      <w:pPr>
        <w:pStyle w:val="Odstavecseseznamem"/>
        <w:numPr>
          <w:ilvl w:val="0"/>
          <w:numId w:val="7"/>
        </w:numPr>
        <w:spacing w:after="120" w:line="276" w:lineRule="auto"/>
        <w:ind w:left="714" w:hanging="357"/>
        <w:contextualSpacing w:val="0"/>
        <w:jc w:val="both"/>
        <w:rPr>
          <w:rFonts w:eastAsia="Times New Roman"/>
          <w:lang w:val="cs-CZ"/>
        </w:rPr>
      </w:pPr>
      <w:r>
        <w:rPr>
          <w:rFonts w:ascii="Times New Roman" w:eastAsia="Times New Roman" w:hAnsi="Times New Roman" w:cs="Times New Roman"/>
          <w:b/>
          <w:bCs/>
          <w:lang w:val="cs-CZ"/>
        </w:rPr>
        <w:t>Doložení</w:t>
      </w:r>
      <w:r w:rsidR="00104B3C" w:rsidRPr="004002DF">
        <w:rPr>
          <w:rFonts w:ascii="Times New Roman" w:eastAsia="Times New Roman" w:hAnsi="Times New Roman" w:cs="Times New Roman"/>
          <w:b/>
          <w:bCs/>
          <w:lang w:val="cs-CZ"/>
        </w:rPr>
        <w:t xml:space="preserve"> vhodnosti nelékopisných analytických metod například předložením shrnutí výsledků validace.</w:t>
      </w:r>
    </w:p>
    <w:p w14:paraId="32B7D02B" w14:textId="57D3EB01" w:rsidR="00104B3C" w:rsidRPr="004504D7" w:rsidRDefault="00104B3C" w:rsidP="004504D7">
      <w:pPr>
        <w:pStyle w:val="Odstavecseseznamem"/>
        <w:numPr>
          <w:ilvl w:val="0"/>
          <w:numId w:val="2"/>
        </w:numPr>
        <w:spacing w:before="240" w:after="120" w:line="276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b/>
          <w:bCs/>
          <w:u w:val="single"/>
          <w:lang w:val="cs-CZ"/>
        </w:rPr>
      </w:pPr>
      <w:r w:rsidRPr="004002DF">
        <w:rPr>
          <w:rFonts w:ascii="Times New Roman" w:eastAsia="Times New Roman" w:hAnsi="Times New Roman" w:cs="Times New Roman"/>
          <w:b/>
          <w:bCs/>
          <w:u w:val="single"/>
          <w:lang w:val="cs-CZ"/>
        </w:rPr>
        <w:t>Požadavky na subjekty zodpovědné za výrobu, distribuci a přípravu</w:t>
      </w:r>
    </w:p>
    <w:p w14:paraId="50B9DC96" w14:textId="6DDFCAE1" w:rsidR="00104B3C" w:rsidRPr="004002DF" w:rsidRDefault="00104B3C" w:rsidP="00104B3C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val="cs-CZ"/>
        </w:rPr>
      </w:pPr>
      <w:r w:rsidRPr="004002DF">
        <w:rPr>
          <w:rFonts w:ascii="Times New Roman" w:eastAsia="Times New Roman" w:hAnsi="Times New Roman" w:cs="Times New Roman"/>
          <w:b/>
          <w:bCs/>
          <w:lang w:val="cs-CZ"/>
        </w:rPr>
        <w:t xml:space="preserve">Pro výrobce na území ČR nutno předložit platné povolení k výrobě </w:t>
      </w:r>
      <w:r w:rsidRPr="00E3402E">
        <w:rPr>
          <w:rFonts w:ascii="Times New Roman" w:eastAsia="Times New Roman" w:hAnsi="Times New Roman" w:cs="Times New Roman"/>
          <w:b/>
          <w:bCs/>
          <w:lang w:val="cs-CZ"/>
        </w:rPr>
        <w:t>či</w:t>
      </w:r>
      <w:r w:rsidRPr="004002DF">
        <w:rPr>
          <w:rFonts w:ascii="Times New Roman" w:eastAsia="Times New Roman" w:hAnsi="Times New Roman" w:cs="Times New Roman"/>
          <w:b/>
          <w:bCs/>
          <w:lang w:val="cs-CZ"/>
        </w:rPr>
        <w:t xml:space="preserve"> </w:t>
      </w:r>
      <w:r w:rsidR="004504D7">
        <w:rPr>
          <w:rFonts w:ascii="Times New Roman" w:eastAsia="Times New Roman" w:hAnsi="Times New Roman" w:cs="Times New Roman"/>
          <w:b/>
          <w:bCs/>
          <w:lang w:val="cs-CZ"/>
        </w:rPr>
        <w:t xml:space="preserve">certifikát správné výrobní praxe </w:t>
      </w:r>
      <w:r w:rsidRPr="004002DF">
        <w:rPr>
          <w:rFonts w:ascii="Times New Roman" w:eastAsia="Times New Roman" w:hAnsi="Times New Roman" w:cs="Times New Roman"/>
          <w:lang w:val="cs-CZ"/>
        </w:rPr>
        <w:t xml:space="preserve">v odpovídajícím rozsahu. </w:t>
      </w:r>
    </w:p>
    <w:p w14:paraId="0550391B" w14:textId="32A5AD0B" w:rsidR="00104B3C" w:rsidRPr="004002DF" w:rsidRDefault="00104B3C" w:rsidP="00104B3C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val="cs-CZ"/>
        </w:rPr>
      </w:pPr>
      <w:r w:rsidRPr="004002DF">
        <w:rPr>
          <w:rFonts w:ascii="Times New Roman" w:eastAsia="Times New Roman" w:hAnsi="Times New Roman" w:cs="Times New Roman"/>
          <w:b/>
          <w:bCs/>
          <w:lang w:val="cs-CZ"/>
        </w:rPr>
        <w:t>Distribuce:</w:t>
      </w:r>
      <w:r w:rsidRPr="004002DF">
        <w:rPr>
          <w:rFonts w:ascii="Times New Roman" w:eastAsia="Times New Roman" w:hAnsi="Times New Roman" w:cs="Times New Roman"/>
          <w:lang w:val="cs-CZ"/>
        </w:rPr>
        <w:t xml:space="preserve"> </w:t>
      </w:r>
      <w:r>
        <w:rPr>
          <w:rFonts w:ascii="Times New Roman" w:eastAsia="Times New Roman" w:hAnsi="Times New Roman" w:cs="Times New Roman"/>
          <w:lang w:val="cs-CZ"/>
        </w:rPr>
        <w:t>n</w:t>
      </w:r>
      <w:r w:rsidRPr="004002DF">
        <w:rPr>
          <w:rFonts w:ascii="Times New Roman" w:eastAsia="Times New Roman" w:hAnsi="Times New Roman" w:cs="Times New Roman"/>
          <w:lang w:val="cs-CZ"/>
        </w:rPr>
        <w:t xml:space="preserve">ázev a adresa distributora </w:t>
      </w:r>
      <w:r w:rsidR="002B08E7" w:rsidRPr="004002DF">
        <w:rPr>
          <w:rFonts w:ascii="Times New Roman" w:eastAsia="Times New Roman" w:hAnsi="Times New Roman" w:cs="Times New Roman"/>
          <w:lang w:val="cs-CZ"/>
        </w:rPr>
        <w:t xml:space="preserve">zajišťujícího převoz léčivé látky </w:t>
      </w:r>
      <w:r w:rsidRPr="004002DF">
        <w:rPr>
          <w:rFonts w:ascii="Times New Roman" w:eastAsia="Times New Roman" w:hAnsi="Times New Roman" w:cs="Times New Roman"/>
          <w:lang w:val="cs-CZ"/>
        </w:rPr>
        <w:t xml:space="preserve">s odpovídajícím rozsahem povolení k distribuci (liší se dle převozu v rámci ČR, EU či ze třetích zemí). </w:t>
      </w:r>
      <w:r w:rsidRPr="004002DF">
        <w:rPr>
          <w:rFonts w:ascii="Times New Roman" w:eastAsia="Times New Roman" w:hAnsi="Times New Roman" w:cs="Times New Roman"/>
          <w:lang w:val="cs-CZ"/>
        </w:rPr>
        <w:lastRenderedPageBreak/>
        <w:t>Je</w:t>
      </w:r>
      <w:r>
        <w:rPr>
          <w:rFonts w:ascii="Times New Roman" w:eastAsia="Times New Roman" w:hAnsi="Times New Roman" w:cs="Times New Roman"/>
          <w:lang w:val="cs-CZ"/>
        </w:rPr>
        <w:t> </w:t>
      </w:r>
      <w:r w:rsidRPr="004002DF">
        <w:rPr>
          <w:rFonts w:ascii="Times New Roman" w:eastAsia="Times New Roman" w:hAnsi="Times New Roman" w:cs="Times New Roman"/>
          <w:lang w:val="cs-CZ"/>
        </w:rPr>
        <w:t>vyžadován popis přepravních podmínek a způsob zajištění teplotního režimu, při zohlednění doby použitelnosti a skladovacích podmínek léčivé látky.</w:t>
      </w:r>
    </w:p>
    <w:p w14:paraId="58375619" w14:textId="0912FA11" w:rsidR="00104B3C" w:rsidRPr="004504D7" w:rsidRDefault="00104B3C" w:rsidP="004504D7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val="cs-CZ"/>
        </w:rPr>
      </w:pPr>
      <w:r w:rsidRPr="004002DF">
        <w:rPr>
          <w:rFonts w:ascii="Times New Roman" w:eastAsia="Times New Roman" w:hAnsi="Times New Roman" w:cs="Times New Roman"/>
          <w:b/>
          <w:bCs/>
          <w:lang w:val="cs-CZ"/>
        </w:rPr>
        <w:t>Identifikace lékárny</w:t>
      </w:r>
      <w:r w:rsidRPr="004002DF">
        <w:rPr>
          <w:rFonts w:ascii="Times New Roman" w:eastAsia="Times New Roman" w:hAnsi="Times New Roman" w:cs="Times New Roman"/>
          <w:lang w:val="cs-CZ"/>
        </w:rPr>
        <w:t>, kde bude probíhat příprava IPLP. Předložení technologického postupu přípravy specifikujícího postup a podmínky (např. zajištění aseptic</w:t>
      </w:r>
      <w:r w:rsidR="004504D7">
        <w:rPr>
          <w:rFonts w:ascii="Times New Roman" w:eastAsia="Times New Roman" w:hAnsi="Times New Roman" w:cs="Times New Roman"/>
          <w:lang w:val="cs-CZ"/>
        </w:rPr>
        <w:t>kých podmínek</w:t>
      </w:r>
      <w:r w:rsidRPr="004002DF">
        <w:rPr>
          <w:rFonts w:ascii="Times New Roman" w:eastAsia="Times New Roman" w:hAnsi="Times New Roman" w:cs="Times New Roman"/>
          <w:lang w:val="cs-CZ"/>
        </w:rPr>
        <w:t xml:space="preserve">, třída čistoty) včetně prevence křížové kontaminace prostor. </w:t>
      </w:r>
    </w:p>
    <w:p w14:paraId="2FE2DFF5" w14:textId="1E8D1E96" w:rsidR="00104B3C" w:rsidRPr="004504D7" w:rsidRDefault="00104B3C" w:rsidP="004504D7">
      <w:pPr>
        <w:pStyle w:val="Odstavecseseznamem"/>
        <w:numPr>
          <w:ilvl w:val="0"/>
          <w:numId w:val="2"/>
        </w:numPr>
        <w:spacing w:before="100" w:beforeAutospacing="1" w:after="100" w:afterAutospacing="1" w:line="276" w:lineRule="auto"/>
        <w:ind w:left="357" w:hanging="357"/>
        <w:contextualSpacing w:val="0"/>
        <w:rPr>
          <w:rFonts w:ascii="Times New Roman" w:eastAsia="Times New Roman" w:hAnsi="Times New Roman" w:cs="Times New Roman"/>
          <w:b/>
          <w:bCs/>
          <w:u w:val="single"/>
          <w:lang w:val="cs-CZ"/>
        </w:rPr>
      </w:pPr>
      <w:r w:rsidRPr="004002DF">
        <w:rPr>
          <w:rFonts w:ascii="Times New Roman" w:eastAsia="Times New Roman" w:hAnsi="Times New Roman" w:cs="Times New Roman"/>
          <w:b/>
          <w:bCs/>
          <w:u w:val="single"/>
          <w:lang w:val="cs-CZ"/>
        </w:rPr>
        <w:t>Klinické a preklinické aspekty</w:t>
      </w:r>
    </w:p>
    <w:p w14:paraId="2DB68CCD" w14:textId="29B071F6" w:rsidR="00104B3C" w:rsidRPr="004002DF" w:rsidRDefault="00104B3C" w:rsidP="00104B3C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val="cs-CZ"/>
        </w:rPr>
      </w:pPr>
      <w:r w:rsidRPr="004002DF">
        <w:rPr>
          <w:rFonts w:ascii="Times New Roman" w:eastAsia="Times New Roman" w:hAnsi="Times New Roman" w:cs="Times New Roman"/>
          <w:b/>
          <w:bCs/>
          <w:lang w:val="cs-CZ"/>
        </w:rPr>
        <w:t>Plán či protokol podávání přípravku pacientovi</w:t>
      </w:r>
      <w:r w:rsidRPr="004002DF">
        <w:rPr>
          <w:rFonts w:ascii="Times New Roman" w:eastAsia="Times New Roman" w:hAnsi="Times New Roman" w:cs="Times New Roman"/>
          <w:lang w:val="cs-CZ"/>
        </w:rPr>
        <w:t>, který bude k nahlédnutí a posouzení SÚKL/pracovní skupinou</w:t>
      </w:r>
      <w:r w:rsidR="002B08E7">
        <w:rPr>
          <w:rFonts w:ascii="Times New Roman" w:eastAsia="Times New Roman" w:hAnsi="Times New Roman" w:cs="Times New Roman"/>
          <w:lang w:val="cs-CZ"/>
        </w:rPr>
        <w:t>,</w:t>
      </w:r>
      <w:r w:rsidRPr="004002DF">
        <w:rPr>
          <w:rFonts w:ascii="Times New Roman" w:eastAsia="Times New Roman" w:hAnsi="Times New Roman" w:cs="Times New Roman"/>
          <w:lang w:val="cs-CZ"/>
        </w:rPr>
        <w:t xml:space="preserve"> a kterým se budou řídit všichni lékaři v rámci daného centra. Toto pomůže předejít potenciální chybovosti při vzájemné zastupitelnosti lékařů (</w:t>
      </w:r>
      <w:r w:rsidRPr="004002DF">
        <w:rPr>
          <w:rFonts w:ascii="Times New Roman" w:eastAsia="Times New Roman" w:hAnsi="Times New Roman" w:cs="Times New Roman"/>
          <w:i/>
          <w:iCs/>
          <w:lang w:val="cs-CZ"/>
        </w:rPr>
        <w:t xml:space="preserve">obdobně jako je tomu u </w:t>
      </w:r>
      <w:r w:rsidR="00153C5B">
        <w:rPr>
          <w:rFonts w:ascii="Times New Roman" w:eastAsia="Times New Roman" w:hAnsi="Times New Roman" w:cs="Times New Roman"/>
          <w:i/>
          <w:iCs/>
          <w:lang w:val="cs-CZ"/>
        </w:rPr>
        <w:t>specifického léčebného programu</w:t>
      </w:r>
      <w:r w:rsidR="00153C5B" w:rsidRPr="004002DF">
        <w:rPr>
          <w:rFonts w:ascii="Times New Roman" w:eastAsia="Times New Roman" w:hAnsi="Times New Roman" w:cs="Times New Roman"/>
          <w:i/>
          <w:iCs/>
          <w:lang w:val="cs-CZ"/>
        </w:rPr>
        <w:t xml:space="preserve"> </w:t>
      </w:r>
      <w:r w:rsidRPr="004002DF">
        <w:rPr>
          <w:rFonts w:ascii="Times New Roman" w:eastAsia="Times New Roman" w:hAnsi="Times New Roman" w:cs="Times New Roman"/>
          <w:i/>
          <w:iCs/>
          <w:lang w:val="cs-CZ"/>
        </w:rPr>
        <w:t>nebo klinického hodnocení</w:t>
      </w:r>
      <w:r w:rsidRPr="004002DF">
        <w:rPr>
          <w:rFonts w:ascii="Times New Roman" w:eastAsia="Times New Roman" w:hAnsi="Times New Roman" w:cs="Times New Roman"/>
          <w:lang w:val="cs-CZ"/>
        </w:rPr>
        <w:t>).</w:t>
      </w:r>
    </w:p>
    <w:p w14:paraId="4F44634C" w14:textId="77777777" w:rsidR="00104B3C" w:rsidRPr="004002DF" w:rsidRDefault="00104B3C" w:rsidP="00104B3C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val="cs-CZ"/>
        </w:rPr>
      </w:pPr>
      <w:r w:rsidRPr="004002DF">
        <w:rPr>
          <w:rFonts w:ascii="Times New Roman" w:eastAsia="Times New Roman" w:hAnsi="Times New Roman" w:cs="Times New Roman"/>
          <w:lang w:val="cs-CZ"/>
        </w:rPr>
        <w:t>V plánu či protokolu musí být uvedeny alespoň</w:t>
      </w:r>
      <w:r>
        <w:rPr>
          <w:rFonts w:ascii="Times New Roman" w:eastAsia="Times New Roman" w:hAnsi="Times New Roman" w:cs="Times New Roman"/>
          <w:lang w:val="cs-CZ"/>
        </w:rPr>
        <w:t xml:space="preserve"> tyto informace</w:t>
      </w:r>
      <w:r w:rsidRPr="004002DF">
        <w:rPr>
          <w:rFonts w:ascii="Times New Roman" w:eastAsia="Times New Roman" w:hAnsi="Times New Roman" w:cs="Times New Roman"/>
          <w:lang w:val="cs-CZ"/>
        </w:rPr>
        <w:t>:</w:t>
      </w:r>
    </w:p>
    <w:p w14:paraId="0DA237C0" w14:textId="77777777" w:rsidR="00104B3C" w:rsidRPr="00046180" w:rsidRDefault="00104B3C" w:rsidP="00104B3C">
      <w:pPr>
        <w:pStyle w:val="Odstavecseseznamem"/>
        <w:numPr>
          <w:ilvl w:val="0"/>
          <w:numId w:val="3"/>
        </w:num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b/>
          <w:bCs/>
          <w:lang w:val="cs-CZ"/>
        </w:rPr>
      </w:pPr>
      <w:r w:rsidRPr="00046180">
        <w:rPr>
          <w:rFonts w:ascii="Times New Roman" w:eastAsia="Times New Roman" w:hAnsi="Times New Roman" w:cs="Times New Roman"/>
          <w:b/>
          <w:bCs/>
          <w:lang w:val="cs-CZ"/>
        </w:rPr>
        <w:t>Indikace</w:t>
      </w:r>
    </w:p>
    <w:p w14:paraId="23416BC3" w14:textId="77777777" w:rsidR="00104B3C" w:rsidRPr="004002DF" w:rsidRDefault="00104B3C" w:rsidP="00104B3C">
      <w:pPr>
        <w:pStyle w:val="Odstavecseseznamem"/>
        <w:numPr>
          <w:ilvl w:val="0"/>
          <w:numId w:val="3"/>
        </w:num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lang w:val="cs-CZ"/>
        </w:rPr>
      </w:pPr>
      <w:r w:rsidRPr="00046180">
        <w:rPr>
          <w:rFonts w:ascii="Times New Roman" w:eastAsia="Times New Roman" w:hAnsi="Times New Roman" w:cs="Times New Roman"/>
          <w:b/>
          <w:bCs/>
          <w:lang w:val="cs-CZ"/>
        </w:rPr>
        <w:t>Informace o léčivé látce</w:t>
      </w:r>
      <w:r>
        <w:rPr>
          <w:rFonts w:ascii="Times New Roman" w:eastAsia="Times New Roman" w:hAnsi="Times New Roman" w:cs="Times New Roman"/>
          <w:b/>
          <w:bCs/>
          <w:lang w:val="cs-CZ"/>
        </w:rPr>
        <w:t xml:space="preserve"> </w:t>
      </w:r>
      <w:r w:rsidRPr="00046180">
        <w:rPr>
          <w:rFonts w:ascii="Times New Roman" w:eastAsia="Times New Roman" w:hAnsi="Times New Roman" w:cs="Times New Roman"/>
          <w:lang w:val="cs-CZ"/>
        </w:rPr>
        <w:t>(tj.</w:t>
      </w:r>
      <w:r>
        <w:rPr>
          <w:rFonts w:ascii="Times New Roman" w:eastAsia="Times New Roman" w:hAnsi="Times New Roman" w:cs="Times New Roman"/>
          <w:b/>
          <w:bCs/>
          <w:lang w:val="cs-CZ"/>
        </w:rPr>
        <w:t xml:space="preserve"> </w:t>
      </w:r>
      <w:r w:rsidRPr="004002DF">
        <w:rPr>
          <w:rFonts w:ascii="Times New Roman" w:eastAsia="Times New Roman" w:hAnsi="Times New Roman" w:cs="Times New Roman"/>
          <w:lang w:val="cs-CZ"/>
        </w:rPr>
        <w:t>zda již byla někde podána a jaká jsou z toho data na pacientech, případně preklinická – nutné řešit case by case</w:t>
      </w:r>
      <w:r>
        <w:rPr>
          <w:rFonts w:ascii="Times New Roman" w:eastAsia="Times New Roman" w:hAnsi="Times New Roman" w:cs="Times New Roman"/>
          <w:lang w:val="cs-CZ"/>
        </w:rPr>
        <w:t>; d</w:t>
      </w:r>
      <w:r w:rsidRPr="004002DF">
        <w:rPr>
          <w:rFonts w:ascii="Times New Roman" w:eastAsia="Times New Roman" w:hAnsi="Times New Roman" w:cs="Times New Roman"/>
          <w:lang w:val="cs-CZ"/>
        </w:rPr>
        <w:t>ata lze brát i z literatury formou rešerší u obdobných přípravků</w:t>
      </w:r>
      <w:r>
        <w:rPr>
          <w:rFonts w:ascii="Times New Roman" w:eastAsia="Times New Roman" w:hAnsi="Times New Roman" w:cs="Times New Roman"/>
          <w:lang w:val="cs-CZ"/>
        </w:rPr>
        <w:t>)</w:t>
      </w:r>
      <w:r w:rsidRPr="004002DF">
        <w:rPr>
          <w:rFonts w:ascii="Times New Roman" w:eastAsia="Times New Roman" w:hAnsi="Times New Roman" w:cs="Times New Roman"/>
          <w:lang w:val="cs-CZ"/>
        </w:rPr>
        <w:t>.</w:t>
      </w:r>
    </w:p>
    <w:p w14:paraId="1FCFD55C" w14:textId="16DB1024" w:rsidR="00104B3C" w:rsidRPr="004002DF" w:rsidRDefault="00104B3C" w:rsidP="00104B3C">
      <w:pPr>
        <w:pStyle w:val="Odstavecseseznamem"/>
        <w:numPr>
          <w:ilvl w:val="0"/>
          <w:numId w:val="3"/>
        </w:num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lang w:val="cs-CZ"/>
        </w:rPr>
      </w:pPr>
      <w:r w:rsidRPr="00046180">
        <w:rPr>
          <w:rFonts w:ascii="Times New Roman" w:eastAsia="Times New Roman" w:hAnsi="Times New Roman" w:cs="Times New Roman"/>
          <w:b/>
          <w:bCs/>
          <w:lang w:val="cs-CZ"/>
        </w:rPr>
        <w:t>Zdůvodnění</w:t>
      </w:r>
      <w:r>
        <w:rPr>
          <w:rFonts w:ascii="Times New Roman" w:eastAsia="Times New Roman" w:hAnsi="Times New Roman" w:cs="Times New Roman"/>
          <w:lang w:val="cs-CZ"/>
        </w:rPr>
        <w:t xml:space="preserve"> </w:t>
      </w:r>
      <w:r w:rsidRPr="00965819">
        <w:rPr>
          <w:rFonts w:ascii="Times New Roman" w:eastAsia="Times New Roman" w:hAnsi="Times New Roman" w:cs="Times New Roman"/>
          <w:b/>
          <w:bCs/>
          <w:lang w:val="cs-CZ"/>
        </w:rPr>
        <w:t>léčby</w:t>
      </w:r>
      <w:r w:rsidRPr="004002DF">
        <w:rPr>
          <w:rFonts w:ascii="Times New Roman" w:eastAsia="Times New Roman" w:hAnsi="Times New Roman" w:cs="Times New Roman"/>
          <w:lang w:val="cs-CZ"/>
        </w:rPr>
        <w:t xml:space="preserve"> </w:t>
      </w:r>
      <w:r>
        <w:rPr>
          <w:rFonts w:ascii="Times New Roman" w:eastAsia="Times New Roman" w:hAnsi="Times New Roman" w:cs="Times New Roman"/>
          <w:lang w:val="cs-CZ"/>
        </w:rPr>
        <w:t>– proč</w:t>
      </w:r>
      <w:r w:rsidRPr="004002DF">
        <w:rPr>
          <w:rFonts w:ascii="Times New Roman" w:eastAsia="Times New Roman" w:hAnsi="Times New Roman" w:cs="Times New Roman"/>
          <w:lang w:val="cs-CZ"/>
        </w:rPr>
        <w:t xml:space="preserve"> ch</w:t>
      </w:r>
      <w:r w:rsidRPr="002B08E7">
        <w:rPr>
          <w:rFonts w:ascii="Times New Roman" w:eastAsia="Times New Roman" w:hAnsi="Times New Roman" w:cs="Times New Roman"/>
          <w:lang w:val="cs-CZ"/>
        </w:rPr>
        <w:t xml:space="preserve">ce </w:t>
      </w:r>
      <w:r w:rsidR="002B08E7" w:rsidRPr="002B08E7">
        <w:rPr>
          <w:rFonts w:ascii="Times New Roman" w:eastAsia="Times New Roman" w:hAnsi="Times New Roman" w:cs="Times New Roman"/>
          <w:lang w:val="cs-CZ"/>
        </w:rPr>
        <w:t>lékař/poskytovatel zdravotních služeb</w:t>
      </w:r>
      <w:r>
        <w:rPr>
          <w:rFonts w:ascii="Times New Roman" w:eastAsia="Times New Roman" w:hAnsi="Times New Roman" w:cs="Times New Roman"/>
          <w:lang w:val="cs-CZ"/>
        </w:rPr>
        <w:t xml:space="preserve"> </w:t>
      </w:r>
      <w:r w:rsidRPr="004002DF">
        <w:rPr>
          <w:rFonts w:ascii="Times New Roman" w:eastAsia="Times New Roman" w:hAnsi="Times New Roman" w:cs="Times New Roman"/>
          <w:lang w:val="cs-CZ"/>
        </w:rPr>
        <w:t>použít tuto léčbu u konkrétního pacienta (např. neúčinnost nebo nesnášenlivost předchozí</w:t>
      </w:r>
      <w:r w:rsidR="008D7B24">
        <w:rPr>
          <w:rFonts w:ascii="Times New Roman" w:eastAsia="Times New Roman" w:hAnsi="Times New Roman" w:cs="Times New Roman"/>
          <w:lang w:val="cs-CZ"/>
        </w:rPr>
        <w:t>ch</w:t>
      </w:r>
      <w:r w:rsidRPr="004002DF">
        <w:rPr>
          <w:rFonts w:ascii="Times New Roman" w:eastAsia="Times New Roman" w:hAnsi="Times New Roman" w:cs="Times New Roman"/>
          <w:lang w:val="cs-CZ"/>
        </w:rPr>
        <w:t xml:space="preserve"> terapi</w:t>
      </w:r>
      <w:r w:rsidR="008D7B24">
        <w:rPr>
          <w:rFonts w:ascii="Times New Roman" w:eastAsia="Times New Roman" w:hAnsi="Times New Roman" w:cs="Times New Roman"/>
          <w:lang w:val="cs-CZ"/>
        </w:rPr>
        <w:t>í</w:t>
      </w:r>
      <w:r w:rsidRPr="004002DF">
        <w:rPr>
          <w:rFonts w:ascii="Times New Roman" w:eastAsia="Times New Roman" w:hAnsi="Times New Roman" w:cs="Times New Roman"/>
          <w:lang w:val="cs-CZ"/>
        </w:rPr>
        <w:t xml:space="preserve"> daného onemocnění aj.)</w:t>
      </w:r>
      <w:r>
        <w:rPr>
          <w:rFonts w:ascii="Times New Roman" w:eastAsia="Times New Roman" w:hAnsi="Times New Roman" w:cs="Times New Roman"/>
          <w:lang w:val="cs-CZ"/>
        </w:rPr>
        <w:t>.</w:t>
      </w:r>
    </w:p>
    <w:p w14:paraId="0338E2C6" w14:textId="77777777" w:rsidR="00104B3C" w:rsidRPr="004002DF" w:rsidRDefault="00104B3C" w:rsidP="00104B3C">
      <w:pPr>
        <w:pStyle w:val="Odstavecseseznamem"/>
        <w:numPr>
          <w:ilvl w:val="0"/>
          <w:numId w:val="3"/>
        </w:num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lang w:val="cs-CZ"/>
        </w:rPr>
      </w:pPr>
      <w:r w:rsidRPr="008750CB">
        <w:rPr>
          <w:rFonts w:ascii="Times New Roman" w:eastAsia="Times New Roman" w:hAnsi="Times New Roman" w:cs="Times New Roman"/>
          <w:b/>
          <w:bCs/>
          <w:lang w:val="cs-CZ"/>
        </w:rPr>
        <w:t>Zdravotní anamnéza daného pacienta</w:t>
      </w:r>
      <w:r w:rsidRPr="004002DF">
        <w:rPr>
          <w:rFonts w:ascii="Times New Roman" w:eastAsia="Times New Roman" w:hAnsi="Times New Roman" w:cs="Times New Roman"/>
          <w:lang w:val="cs-CZ"/>
        </w:rPr>
        <w:t xml:space="preserve"> odpovídající anamnéze odebírané pro běžnou klinickou praxi.</w:t>
      </w:r>
    </w:p>
    <w:p w14:paraId="386069D2" w14:textId="77777777" w:rsidR="00104B3C" w:rsidRPr="008750CB" w:rsidRDefault="00104B3C" w:rsidP="00104B3C">
      <w:pPr>
        <w:pStyle w:val="Odstavecseseznamem"/>
        <w:numPr>
          <w:ilvl w:val="0"/>
          <w:numId w:val="3"/>
        </w:num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b/>
          <w:bCs/>
          <w:lang w:val="cs-CZ"/>
        </w:rPr>
      </w:pPr>
      <w:r w:rsidRPr="008750CB">
        <w:rPr>
          <w:rFonts w:ascii="Times New Roman" w:eastAsia="Times New Roman" w:hAnsi="Times New Roman" w:cs="Times New Roman"/>
          <w:b/>
          <w:bCs/>
          <w:lang w:val="cs-CZ"/>
        </w:rPr>
        <w:t>Dávk</w:t>
      </w:r>
      <w:r>
        <w:rPr>
          <w:rFonts w:ascii="Times New Roman" w:eastAsia="Times New Roman" w:hAnsi="Times New Roman" w:cs="Times New Roman"/>
          <w:b/>
          <w:bCs/>
          <w:lang w:val="cs-CZ"/>
        </w:rPr>
        <w:t>ování</w:t>
      </w:r>
      <w:r w:rsidRPr="008750CB">
        <w:rPr>
          <w:rFonts w:ascii="Times New Roman" w:eastAsia="Times New Roman" w:hAnsi="Times New Roman" w:cs="Times New Roman"/>
          <w:b/>
          <w:bCs/>
          <w:lang w:val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cs-CZ"/>
        </w:rPr>
        <w:t>a způsob podání</w:t>
      </w:r>
    </w:p>
    <w:p w14:paraId="65C8775A" w14:textId="77B5FA6D" w:rsidR="00104B3C" w:rsidRPr="004002DF" w:rsidRDefault="00104B3C" w:rsidP="00104B3C">
      <w:pPr>
        <w:pStyle w:val="Odstavecseseznamem"/>
        <w:numPr>
          <w:ilvl w:val="0"/>
          <w:numId w:val="4"/>
        </w:numPr>
        <w:spacing w:after="0" w:line="276" w:lineRule="auto"/>
        <w:ind w:left="1800"/>
        <w:jc w:val="both"/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lang w:val="cs-CZ"/>
        </w:rPr>
        <w:t>popis</w:t>
      </w:r>
      <w:r w:rsidRPr="004002DF">
        <w:rPr>
          <w:rFonts w:ascii="Times New Roman" w:eastAsia="Times New Roman" w:hAnsi="Times New Roman" w:cs="Times New Roman"/>
          <w:lang w:val="cs-CZ"/>
        </w:rPr>
        <w:t xml:space="preserve"> a zdůvodnění, jakým způsobem a v jakém rozmezí koncentrací (</w:t>
      </w:r>
      <w:proofErr w:type="spellStart"/>
      <w:r w:rsidRPr="004002DF">
        <w:rPr>
          <w:rFonts w:ascii="Times New Roman" w:eastAsia="Times New Roman" w:hAnsi="Times New Roman" w:cs="Times New Roman"/>
          <w:lang w:val="cs-CZ"/>
        </w:rPr>
        <w:t>pfu</w:t>
      </w:r>
      <w:proofErr w:type="spellEnd"/>
      <w:r w:rsidRPr="004002DF">
        <w:rPr>
          <w:rFonts w:ascii="Times New Roman" w:eastAsia="Times New Roman" w:hAnsi="Times New Roman" w:cs="Times New Roman"/>
          <w:lang w:val="cs-CZ"/>
        </w:rPr>
        <w:t xml:space="preserve">/ml) bude </w:t>
      </w:r>
      <w:r>
        <w:rPr>
          <w:rFonts w:ascii="Times New Roman" w:eastAsia="Times New Roman" w:hAnsi="Times New Roman" w:cs="Times New Roman"/>
          <w:lang w:val="cs-CZ"/>
        </w:rPr>
        <w:t xml:space="preserve">IPLP </w:t>
      </w:r>
      <w:r w:rsidRPr="004002DF">
        <w:rPr>
          <w:rFonts w:ascii="Times New Roman" w:eastAsia="Times New Roman" w:hAnsi="Times New Roman" w:cs="Times New Roman"/>
          <w:lang w:val="cs-CZ"/>
        </w:rPr>
        <w:t>pacientovi podá</w:t>
      </w:r>
      <w:r>
        <w:rPr>
          <w:rFonts w:ascii="Times New Roman" w:eastAsia="Times New Roman" w:hAnsi="Times New Roman" w:cs="Times New Roman"/>
          <w:lang w:val="cs-CZ"/>
        </w:rPr>
        <w:t>vá</w:t>
      </w:r>
      <w:r w:rsidRPr="004002DF">
        <w:rPr>
          <w:rFonts w:ascii="Times New Roman" w:eastAsia="Times New Roman" w:hAnsi="Times New Roman" w:cs="Times New Roman"/>
          <w:lang w:val="cs-CZ"/>
        </w:rPr>
        <w:t>n</w:t>
      </w:r>
      <w:r>
        <w:rPr>
          <w:rFonts w:ascii="Times New Roman" w:eastAsia="Times New Roman" w:hAnsi="Times New Roman" w:cs="Times New Roman"/>
          <w:lang w:val="cs-CZ"/>
        </w:rPr>
        <w:t>;</w:t>
      </w:r>
      <w:r w:rsidRPr="004002DF">
        <w:rPr>
          <w:rFonts w:ascii="Times New Roman" w:eastAsia="Times New Roman" w:hAnsi="Times New Roman" w:cs="Times New Roman"/>
          <w:lang w:val="cs-CZ"/>
        </w:rPr>
        <w:t xml:space="preserve"> </w:t>
      </w:r>
      <w:r>
        <w:rPr>
          <w:rFonts w:ascii="Times New Roman" w:eastAsia="Times New Roman" w:hAnsi="Times New Roman" w:cs="Times New Roman"/>
          <w:lang w:val="cs-CZ"/>
        </w:rPr>
        <w:t>m</w:t>
      </w:r>
      <w:r w:rsidRPr="004002DF">
        <w:rPr>
          <w:rFonts w:ascii="Times New Roman" w:eastAsia="Times New Roman" w:hAnsi="Times New Roman" w:cs="Times New Roman"/>
          <w:lang w:val="cs-CZ"/>
        </w:rPr>
        <w:t>ožnost snížení či zvýšení dávky – rozmezí a</w:t>
      </w:r>
      <w:r w:rsidR="00153C5B">
        <w:rPr>
          <w:rFonts w:ascii="Times New Roman" w:eastAsia="Times New Roman" w:hAnsi="Times New Roman" w:cs="Times New Roman"/>
          <w:lang w:val="cs-CZ"/>
        </w:rPr>
        <w:t> </w:t>
      </w:r>
      <w:r w:rsidRPr="004002DF">
        <w:rPr>
          <w:rFonts w:ascii="Times New Roman" w:eastAsia="Times New Roman" w:hAnsi="Times New Roman" w:cs="Times New Roman"/>
          <w:lang w:val="cs-CZ"/>
        </w:rPr>
        <w:t xml:space="preserve">kritéria, kdy toto lze </w:t>
      </w:r>
      <w:r w:rsidR="004949A1">
        <w:rPr>
          <w:rFonts w:ascii="Times New Roman" w:eastAsia="Times New Roman" w:hAnsi="Times New Roman" w:cs="Times New Roman"/>
          <w:lang w:val="cs-CZ"/>
        </w:rPr>
        <w:t>nebo</w:t>
      </w:r>
      <w:r w:rsidRPr="004002DF">
        <w:rPr>
          <w:rFonts w:ascii="Times New Roman" w:eastAsia="Times New Roman" w:hAnsi="Times New Roman" w:cs="Times New Roman"/>
          <w:lang w:val="cs-CZ"/>
        </w:rPr>
        <w:t xml:space="preserve"> je nezbytně nutné udělat.</w:t>
      </w:r>
    </w:p>
    <w:p w14:paraId="5697B546" w14:textId="37B7C3E2" w:rsidR="00104B3C" w:rsidRPr="004002DF" w:rsidRDefault="00104B3C" w:rsidP="00104B3C">
      <w:pPr>
        <w:pStyle w:val="Odstavecseseznamem"/>
        <w:numPr>
          <w:ilvl w:val="0"/>
          <w:numId w:val="4"/>
        </w:numPr>
        <w:spacing w:after="0" w:line="276" w:lineRule="auto"/>
        <w:ind w:left="1800"/>
        <w:jc w:val="both"/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lang w:val="cs-CZ"/>
        </w:rPr>
        <w:t>z</w:t>
      </w:r>
      <w:r w:rsidRPr="004002DF">
        <w:rPr>
          <w:rFonts w:ascii="Times New Roman" w:eastAsia="Times New Roman" w:hAnsi="Times New Roman" w:cs="Times New Roman"/>
          <w:lang w:val="cs-CZ"/>
        </w:rPr>
        <w:t>působ podání – p</w:t>
      </w:r>
      <w:r>
        <w:rPr>
          <w:rFonts w:ascii="Times New Roman" w:eastAsia="Times New Roman" w:hAnsi="Times New Roman" w:cs="Times New Roman"/>
          <w:lang w:val="cs-CZ"/>
        </w:rPr>
        <w:t>erorální</w:t>
      </w:r>
      <w:r w:rsidRPr="004002DF">
        <w:rPr>
          <w:rFonts w:ascii="Times New Roman" w:eastAsia="Times New Roman" w:hAnsi="Times New Roman" w:cs="Times New Roman"/>
          <w:lang w:val="cs-CZ"/>
        </w:rPr>
        <w:t xml:space="preserve">, </w:t>
      </w:r>
      <w:r>
        <w:rPr>
          <w:rFonts w:ascii="Times New Roman" w:eastAsia="Times New Roman" w:hAnsi="Times New Roman" w:cs="Times New Roman"/>
          <w:lang w:val="cs-CZ"/>
        </w:rPr>
        <w:t>intravenózní,</w:t>
      </w:r>
      <w:r w:rsidR="004949A1">
        <w:rPr>
          <w:rFonts w:ascii="Times New Roman" w:eastAsia="Times New Roman" w:hAnsi="Times New Roman" w:cs="Times New Roman"/>
          <w:lang w:val="cs-CZ"/>
        </w:rPr>
        <w:t xml:space="preserve"> </w:t>
      </w:r>
      <w:proofErr w:type="spellStart"/>
      <w:r w:rsidR="004949A1">
        <w:rPr>
          <w:rFonts w:ascii="Times New Roman" w:eastAsia="Times New Roman" w:hAnsi="Times New Roman" w:cs="Times New Roman"/>
          <w:lang w:val="cs-CZ"/>
        </w:rPr>
        <w:t>intranasální</w:t>
      </w:r>
      <w:proofErr w:type="spellEnd"/>
      <w:r w:rsidR="004949A1">
        <w:rPr>
          <w:rFonts w:ascii="Times New Roman" w:eastAsia="Times New Roman" w:hAnsi="Times New Roman" w:cs="Times New Roman"/>
          <w:lang w:val="cs-CZ"/>
        </w:rPr>
        <w:t>,</w:t>
      </w:r>
      <w:r>
        <w:rPr>
          <w:rFonts w:ascii="Times New Roman" w:eastAsia="Times New Roman" w:hAnsi="Times New Roman" w:cs="Times New Roman"/>
          <w:lang w:val="cs-CZ"/>
        </w:rPr>
        <w:t xml:space="preserve"> subkutánní</w:t>
      </w:r>
      <w:r w:rsidRPr="004002DF">
        <w:rPr>
          <w:rFonts w:ascii="Times New Roman" w:eastAsia="Times New Roman" w:hAnsi="Times New Roman" w:cs="Times New Roman"/>
          <w:lang w:val="cs-CZ"/>
        </w:rPr>
        <w:t xml:space="preserve"> atd.</w:t>
      </w:r>
    </w:p>
    <w:p w14:paraId="151228C2" w14:textId="77777777" w:rsidR="00104B3C" w:rsidRPr="004002DF" w:rsidRDefault="00104B3C" w:rsidP="00104B3C">
      <w:pPr>
        <w:pStyle w:val="Odstavecseseznamem"/>
        <w:numPr>
          <w:ilvl w:val="0"/>
          <w:numId w:val="4"/>
        </w:numPr>
        <w:spacing w:after="0" w:line="276" w:lineRule="auto"/>
        <w:ind w:left="1800"/>
        <w:jc w:val="both"/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lang w:val="cs-CZ"/>
        </w:rPr>
        <w:t xml:space="preserve">zda se </w:t>
      </w:r>
      <w:r w:rsidRPr="004002DF">
        <w:rPr>
          <w:rFonts w:ascii="Times New Roman" w:eastAsia="Times New Roman" w:hAnsi="Times New Roman" w:cs="Times New Roman"/>
          <w:lang w:val="cs-CZ"/>
        </w:rPr>
        <w:t>předpokládá opakované podání a v jakých intervalech</w:t>
      </w:r>
      <w:r>
        <w:rPr>
          <w:rFonts w:ascii="Times New Roman" w:eastAsia="Times New Roman" w:hAnsi="Times New Roman" w:cs="Times New Roman"/>
          <w:lang w:val="cs-CZ"/>
        </w:rPr>
        <w:t xml:space="preserve">; v případě opakovaného podání uvést </w:t>
      </w:r>
      <w:r w:rsidRPr="004002DF">
        <w:rPr>
          <w:rFonts w:ascii="Times New Roman" w:eastAsia="Times New Roman" w:hAnsi="Times New Roman" w:cs="Times New Roman"/>
          <w:lang w:val="cs-CZ"/>
        </w:rPr>
        <w:t>jaká jsou bezpečnostní kritéria pro neopakování dávky (např. závažný nežádoucí účinek; zhoršení celkového stavu…)</w:t>
      </w:r>
      <w:r>
        <w:rPr>
          <w:rFonts w:ascii="Times New Roman" w:eastAsia="Times New Roman" w:hAnsi="Times New Roman" w:cs="Times New Roman"/>
          <w:lang w:val="cs-CZ"/>
        </w:rPr>
        <w:t>.</w:t>
      </w:r>
    </w:p>
    <w:p w14:paraId="74B24449" w14:textId="3BD45099" w:rsidR="00104B3C" w:rsidRPr="004002DF" w:rsidRDefault="00104B3C" w:rsidP="00104B3C">
      <w:pPr>
        <w:pStyle w:val="Odstavecseseznamem"/>
        <w:numPr>
          <w:ilvl w:val="0"/>
          <w:numId w:val="3"/>
        </w:num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lang w:val="cs-CZ"/>
        </w:rPr>
      </w:pPr>
      <w:r w:rsidRPr="005605DC">
        <w:rPr>
          <w:rFonts w:ascii="Times New Roman" w:eastAsia="Times New Roman" w:hAnsi="Times New Roman" w:cs="Times New Roman"/>
          <w:b/>
          <w:bCs/>
          <w:lang w:val="cs-CZ"/>
        </w:rPr>
        <w:t>Podávání přípravku za hospitalizace či ambulantně</w:t>
      </w:r>
      <w:r w:rsidRPr="004002DF">
        <w:rPr>
          <w:rFonts w:ascii="Times New Roman" w:eastAsia="Times New Roman" w:hAnsi="Times New Roman" w:cs="Times New Roman"/>
          <w:lang w:val="cs-CZ"/>
        </w:rPr>
        <w:t xml:space="preserve">. Časový interval mezi </w:t>
      </w:r>
      <w:r w:rsidR="004949A1">
        <w:rPr>
          <w:rFonts w:ascii="Times New Roman" w:eastAsia="Times New Roman" w:hAnsi="Times New Roman" w:cs="Times New Roman"/>
          <w:lang w:val="cs-CZ"/>
        </w:rPr>
        <w:t>podáními</w:t>
      </w:r>
      <w:r w:rsidRPr="004002DF">
        <w:rPr>
          <w:rFonts w:ascii="Times New Roman" w:eastAsia="Times New Roman" w:hAnsi="Times New Roman" w:cs="Times New Roman"/>
          <w:lang w:val="cs-CZ"/>
        </w:rPr>
        <w:t>.</w:t>
      </w:r>
    </w:p>
    <w:p w14:paraId="75F28BFE" w14:textId="77777777" w:rsidR="00104B3C" w:rsidRPr="004002DF" w:rsidRDefault="00104B3C" w:rsidP="00104B3C">
      <w:pPr>
        <w:pStyle w:val="Odstavecseseznamem"/>
        <w:numPr>
          <w:ilvl w:val="0"/>
          <w:numId w:val="3"/>
        </w:num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lang w:val="cs-CZ"/>
        </w:rPr>
      </w:pPr>
      <w:r w:rsidRPr="005605DC">
        <w:rPr>
          <w:rFonts w:ascii="Times New Roman" w:eastAsia="Times New Roman" w:hAnsi="Times New Roman" w:cs="Times New Roman"/>
          <w:b/>
          <w:bCs/>
          <w:lang w:val="cs-CZ"/>
        </w:rPr>
        <w:t>Monitorování pacienta</w:t>
      </w:r>
      <w:r w:rsidRPr="004002DF">
        <w:rPr>
          <w:rFonts w:ascii="Times New Roman" w:eastAsia="Times New Roman" w:hAnsi="Times New Roman" w:cs="Times New Roman"/>
          <w:lang w:val="cs-CZ"/>
        </w:rPr>
        <w:t xml:space="preserve"> – vhodné ustanovit Plán monitorování.</w:t>
      </w:r>
    </w:p>
    <w:p w14:paraId="74F189A1" w14:textId="68ED9BD4" w:rsidR="00104B3C" w:rsidRPr="004002DF" w:rsidRDefault="00104B3C" w:rsidP="00104B3C">
      <w:pPr>
        <w:pStyle w:val="Odstavecseseznamem"/>
        <w:numPr>
          <w:ilvl w:val="0"/>
          <w:numId w:val="5"/>
        </w:numPr>
        <w:spacing w:after="0" w:line="276" w:lineRule="auto"/>
        <w:ind w:left="1800"/>
        <w:jc w:val="both"/>
        <w:rPr>
          <w:rFonts w:ascii="Times New Roman" w:eastAsia="Times New Roman" w:hAnsi="Times New Roman" w:cs="Times New Roman"/>
          <w:lang w:val="cs-CZ"/>
        </w:rPr>
      </w:pPr>
      <w:r w:rsidRPr="004002DF">
        <w:rPr>
          <w:rFonts w:ascii="Times New Roman" w:eastAsia="Times New Roman" w:hAnsi="Times New Roman" w:cs="Times New Roman"/>
          <w:lang w:val="cs-CZ"/>
        </w:rPr>
        <w:t xml:space="preserve">Jak dlouho bude pacient po podání monitorován a jaké životní funkce, laboratorní parametry a jiné parametry budou </w:t>
      </w:r>
      <w:r w:rsidR="004949A1">
        <w:rPr>
          <w:rFonts w:ascii="Times New Roman" w:eastAsia="Times New Roman" w:hAnsi="Times New Roman" w:cs="Times New Roman"/>
          <w:lang w:val="cs-CZ"/>
        </w:rPr>
        <w:t>sledovány</w:t>
      </w:r>
      <w:r w:rsidRPr="004002DF">
        <w:rPr>
          <w:rFonts w:ascii="Times New Roman" w:eastAsia="Times New Roman" w:hAnsi="Times New Roman" w:cs="Times New Roman"/>
          <w:lang w:val="cs-CZ"/>
        </w:rPr>
        <w:t>.</w:t>
      </w:r>
    </w:p>
    <w:p w14:paraId="7139D727" w14:textId="77777777" w:rsidR="00104B3C" w:rsidRPr="004002DF" w:rsidRDefault="00104B3C" w:rsidP="00104B3C">
      <w:pPr>
        <w:pStyle w:val="Odstavecseseznamem"/>
        <w:numPr>
          <w:ilvl w:val="0"/>
          <w:numId w:val="5"/>
        </w:numPr>
        <w:spacing w:after="0" w:line="276" w:lineRule="auto"/>
        <w:ind w:left="1800"/>
        <w:jc w:val="both"/>
        <w:rPr>
          <w:rFonts w:ascii="Times New Roman" w:eastAsia="Times New Roman" w:hAnsi="Times New Roman" w:cs="Times New Roman"/>
          <w:lang w:val="cs-CZ"/>
        </w:rPr>
      </w:pPr>
      <w:r w:rsidRPr="004002DF">
        <w:rPr>
          <w:rFonts w:ascii="Times New Roman" w:eastAsia="Times New Roman" w:hAnsi="Times New Roman" w:cs="Times New Roman"/>
          <w:lang w:val="cs-CZ"/>
        </w:rPr>
        <w:t xml:space="preserve">Monitorování po skončení léčby celkově – jaký časový interval a jak dlouho. </w:t>
      </w:r>
    </w:p>
    <w:p w14:paraId="52FFE223" w14:textId="77777777" w:rsidR="00104B3C" w:rsidRPr="004002DF" w:rsidRDefault="00104B3C" w:rsidP="00104B3C">
      <w:pPr>
        <w:pStyle w:val="Odstavecseseznamem"/>
        <w:numPr>
          <w:ilvl w:val="0"/>
          <w:numId w:val="3"/>
        </w:num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lang w:val="cs-CZ"/>
        </w:rPr>
      </w:pPr>
      <w:r w:rsidRPr="005605DC">
        <w:rPr>
          <w:rFonts w:ascii="Times New Roman" w:eastAsia="Times New Roman" w:hAnsi="Times New Roman" w:cs="Times New Roman"/>
          <w:b/>
          <w:bCs/>
          <w:lang w:val="cs-CZ"/>
        </w:rPr>
        <w:t>Souběžná medikace</w:t>
      </w:r>
      <w:r w:rsidRPr="004002DF">
        <w:rPr>
          <w:rFonts w:ascii="Times New Roman" w:eastAsia="Times New Roman" w:hAnsi="Times New Roman" w:cs="Times New Roman"/>
          <w:lang w:val="cs-CZ"/>
        </w:rPr>
        <w:t xml:space="preserve"> – pokud je nějaká kontraindikovaná, je nutné to uvést.</w:t>
      </w:r>
    </w:p>
    <w:p w14:paraId="3D933301" w14:textId="0F2201B9" w:rsidR="00104B3C" w:rsidRPr="004002DF" w:rsidRDefault="00104B3C" w:rsidP="00104B3C">
      <w:pPr>
        <w:pStyle w:val="Odstavecseseznamem"/>
        <w:numPr>
          <w:ilvl w:val="0"/>
          <w:numId w:val="3"/>
        </w:num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lang w:val="cs-CZ"/>
        </w:rPr>
      </w:pPr>
      <w:r w:rsidRPr="0008568F">
        <w:rPr>
          <w:rFonts w:ascii="Times New Roman" w:eastAsia="Times New Roman" w:hAnsi="Times New Roman" w:cs="Times New Roman"/>
          <w:b/>
          <w:bCs/>
          <w:lang w:val="cs-CZ"/>
        </w:rPr>
        <w:t>Hlášení nežádoucích účinků</w:t>
      </w:r>
      <w:r w:rsidRPr="004002DF">
        <w:rPr>
          <w:rFonts w:ascii="Times New Roman" w:eastAsia="Times New Roman" w:hAnsi="Times New Roman" w:cs="Times New Roman"/>
          <w:lang w:val="cs-CZ"/>
        </w:rPr>
        <w:t xml:space="preserve"> – jak a kam.</w:t>
      </w:r>
    </w:p>
    <w:p w14:paraId="5318827B" w14:textId="7110B6DE" w:rsidR="00104B3C" w:rsidRPr="004002DF" w:rsidRDefault="00104B3C" w:rsidP="00104B3C">
      <w:pPr>
        <w:pStyle w:val="Odstavecseseznamem"/>
        <w:numPr>
          <w:ilvl w:val="0"/>
          <w:numId w:val="3"/>
        </w:num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lang w:val="cs-CZ"/>
        </w:rPr>
      </w:pPr>
      <w:r w:rsidRPr="00A40076">
        <w:rPr>
          <w:rFonts w:ascii="Times New Roman" w:eastAsia="Times New Roman" w:hAnsi="Times New Roman" w:cs="Times New Roman"/>
          <w:b/>
          <w:bCs/>
          <w:lang w:val="cs-CZ"/>
        </w:rPr>
        <w:lastRenderedPageBreak/>
        <w:t xml:space="preserve">Zhodnocení poměru benefit/risk pro </w:t>
      </w:r>
      <w:r w:rsidR="004949A1">
        <w:rPr>
          <w:rFonts w:ascii="Times New Roman" w:eastAsia="Times New Roman" w:hAnsi="Times New Roman" w:cs="Times New Roman"/>
          <w:b/>
          <w:bCs/>
          <w:lang w:val="cs-CZ"/>
        </w:rPr>
        <w:t xml:space="preserve">daného </w:t>
      </w:r>
      <w:r w:rsidR="00153C5B" w:rsidRPr="00A40076">
        <w:rPr>
          <w:rFonts w:ascii="Times New Roman" w:eastAsia="Times New Roman" w:hAnsi="Times New Roman" w:cs="Times New Roman"/>
          <w:b/>
          <w:bCs/>
          <w:lang w:val="cs-CZ"/>
        </w:rPr>
        <w:t>pacienta</w:t>
      </w:r>
      <w:r w:rsidR="00153C5B">
        <w:rPr>
          <w:rFonts w:ascii="Times New Roman" w:eastAsia="Times New Roman" w:hAnsi="Times New Roman" w:cs="Times New Roman"/>
          <w:b/>
          <w:bCs/>
          <w:lang w:val="cs-CZ"/>
        </w:rPr>
        <w:t xml:space="preserve"> </w:t>
      </w:r>
      <w:r w:rsidR="00153C5B" w:rsidRPr="004002DF">
        <w:rPr>
          <w:rFonts w:ascii="Times New Roman" w:eastAsia="Times New Roman" w:hAnsi="Times New Roman" w:cs="Times New Roman"/>
          <w:lang w:val="cs-CZ"/>
        </w:rPr>
        <w:t>– uvedení</w:t>
      </w:r>
      <w:r w:rsidRPr="004002DF">
        <w:rPr>
          <w:rFonts w:ascii="Times New Roman" w:eastAsia="Times New Roman" w:hAnsi="Times New Roman" w:cs="Times New Roman"/>
          <w:lang w:val="cs-CZ"/>
        </w:rPr>
        <w:t xml:space="preserve"> potenciálních rizik spojených s podáváním přípravků a nastavení opatření pro jejich zmírnění („Risk </w:t>
      </w:r>
      <w:proofErr w:type="spellStart"/>
      <w:r w:rsidRPr="004002DF">
        <w:rPr>
          <w:rFonts w:ascii="Times New Roman" w:eastAsia="Times New Roman" w:hAnsi="Times New Roman" w:cs="Times New Roman"/>
          <w:lang w:val="cs-CZ"/>
        </w:rPr>
        <w:t>mitigation</w:t>
      </w:r>
      <w:proofErr w:type="spellEnd"/>
      <w:r w:rsidRPr="004002DF">
        <w:rPr>
          <w:rFonts w:ascii="Times New Roman" w:eastAsia="Times New Roman" w:hAnsi="Times New Roman" w:cs="Times New Roman"/>
          <w:lang w:val="cs-CZ"/>
        </w:rPr>
        <w:t xml:space="preserve"> </w:t>
      </w:r>
      <w:proofErr w:type="spellStart"/>
      <w:r w:rsidRPr="004002DF">
        <w:rPr>
          <w:rFonts w:ascii="Times New Roman" w:eastAsia="Times New Roman" w:hAnsi="Times New Roman" w:cs="Times New Roman"/>
          <w:lang w:val="cs-CZ"/>
        </w:rPr>
        <w:t>measures</w:t>
      </w:r>
      <w:proofErr w:type="spellEnd"/>
      <w:r w:rsidRPr="004002DF">
        <w:rPr>
          <w:rFonts w:ascii="Times New Roman" w:eastAsia="Times New Roman" w:hAnsi="Times New Roman" w:cs="Times New Roman"/>
          <w:lang w:val="cs-CZ"/>
        </w:rPr>
        <w:t>“).</w:t>
      </w:r>
    </w:p>
    <w:p w14:paraId="6E528FB5" w14:textId="77777777" w:rsidR="00104B3C" w:rsidRPr="004002DF" w:rsidRDefault="00104B3C" w:rsidP="00104B3C">
      <w:pPr>
        <w:pStyle w:val="Odstavecseseznamem"/>
        <w:numPr>
          <w:ilvl w:val="0"/>
          <w:numId w:val="3"/>
        </w:num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lang w:val="cs-CZ"/>
        </w:rPr>
      </w:pPr>
      <w:r w:rsidRPr="004002DF">
        <w:rPr>
          <w:rFonts w:ascii="Times New Roman" w:eastAsia="Times New Roman" w:hAnsi="Times New Roman" w:cs="Times New Roman"/>
          <w:lang w:val="cs-CZ"/>
        </w:rPr>
        <w:t>Další aspekty, o kterých se žadatel domnívá, že by mohly být důležité pro zajištění bezpečnosti pacienta v kontextu podávání daného konkrétního bakteriofága</w:t>
      </w:r>
    </w:p>
    <w:p w14:paraId="70600996" w14:textId="77777777" w:rsidR="00104B3C" w:rsidRPr="004002DF" w:rsidRDefault="00104B3C" w:rsidP="00104B3C">
      <w:pPr>
        <w:pStyle w:val="Odstavecseseznamem"/>
        <w:numPr>
          <w:ilvl w:val="0"/>
          <w:numId w:val="3"/>
        </w:numPr>
        <w:spacing w:line="276" w:lineRule="auto"/>
        <w:ind w:left="1080"/>
        <w:jc w:val="both"/>
        <w:rPr>
          <w:rFonts w:ascii="Times New Roman" w:eastAsia="Times New Roman" w:hAnsi="Times New Roman" w:cs="Times New Roman"/>
          <w:lang w:val="cs-CZ"/>
        </w:rPr>
      </w:pPr>
      <w:r w:rsidRPr="004002DF">
        <w:rPr>
          <w:rFonts w:ascii="Times New Roman" w:eastAsia="Times New Roman" w:hAnsi="Times New Roman" w:cs="Times New Roman"/>
          <w:lang w:val="cs-CZ"/>
        </w:rPr>
        <w:t xml:space="preserve">Pokud to umožňuje zdravotní stav pacienta, musí být formou informovaného souhlasu </w:t>
      </w:r>
      <w:r>
        <w:rPr>
          <w:rFonts w:ascii="Times New Roman" w:eastAsia="Times New Roman" w:hAnsi="Times New Roman" w:cs="Times New Roman"/>
          <w:lang w:val="cs-CZ"/>
        </w:rPr>
        <w:t xml:space="preserve">pacient </w:t>
      </w:r>
      <w:r w:rsidRPr="004002DF">
        <w:rPr>
          <w:rFonts w:ascii="Times New Roman" w:eastAsia="Times New Roman" w:hAnsi="Times New Roman" w:cs="Times New Roman"/>
          <w:lang w:val="cs-CZ"/>
        </w:rPr>
        <w:t xml:space="preserve">informován, že bude léčen nikde neregistrovaným léčivým přípravkem, kdy jsou velmi omezené zkušenosti s jeho podáním (uvést možné přínosy a rizika léčby).  </w:t>
      </w:r>
    </w:p>
    <w:p w14:paraId="2F5CC2FE" w14:textId="77777777" w:rsidR="00104B3C" w:rsidRPr="004002DF" w:rsidRDefault="00104B3C" w:rsidP="00104B3C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lang w:val="cs-CZ"/>
        </w:rPr>
      </w:pPr>
    </w:p>
    <w:p w14:paraId="14B15BB9" w14:textId="77777777" w:rsidR="00104B3C" w:rsidRPr="00B30634" w:rsidRDefault="00104B3C" w:rsidP="00104B3C">
      <w:pPr>
        <w:pStyle w:val="Seznamsodrkami"/>
        <w:numPr>
          <w:ilvl w:val="0"/>
          <w:numId w:val="0"/>
        </w:numPr>
        <w:spacing w:line="276" w:lineRule="auto"/>
        <w:ind w:left="360"/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7603BF33" w14:textId="77777777" w:rsidR="00D422F7" w:rsidRDefault="00D422F7"/>
    <w:sectPr w:rsidR="00D422F7" w:rsidSect="00104B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Simplified Arabic Fixed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064EAB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BAB776"/>
    <w:multiLevelType w:val="hybridMultilevel"/>
    <w:tmpl w:val="FFFFFFFF"/>
    <w:lvl w:ilvl="0" w:tplc="1E10B86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83225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B4B7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320F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02EC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984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3637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ECE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D8FD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D3964"/>
    <w:multiLevelType w:val="hybridMultilevel"/>
    <w:tmpl w:val="EA2896AA"/>
    <w:lvl w:ilvl="0" w:tplc="09C0458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01A63"/>
    <w:multiLevelType w:val="hybridMultilevel"/>
    <w:tmpl w:val="2CEA8AAA"/>
    <w:lvl w:ilvl="0" w:tplc="2B863C9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F3C95"/>
    <w:multiLevelType w:val="hybridMultilevel"/>
    <w:tmpl w:val="520894E8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9636FE16">
      <w:start w:val="1"/>
      <w:numFmt w:val="lowerLetter"/>
      <w:lvlText w:val="%2."/>
      <w:lvlJc w:val="left"/>
      <w:pPr>
        <w:ind w:left="1080" w:hanging="360"/>
      </w:pPr>
    </w:lvl>
    <w:lvl w:ilvl="2" w:tplc="369A3588">
      <w:start w:val="1"/>
      <w:numFmt w:val="lowerRoman"/>
      <w:lvlText w:val="%3."/>
      <w:lvlJc w:val="right"/>
      <w:pPr>
        <w:ind w:left="1800" w:hanging="180"/>
      </w:pPr>
    </w:lvl>
    <w:lvl w:ilvl="3" w:tplc="31FAD456">
      <w:start w:val="1"/>
      <w:numFmt w:val="decimal"/>
      <w:lvlText w:val="%4."/>
      <w:lvlJc w:val="left"/>
      <w:pPr>
        <w:ind w:left="2520" w:hanging="360"/>
      </w:pPr>
    </w:lvl>
    <w:lvl w:ilvl="4" w:tplc="7228C5D6">
      <w:start w:val="1"/>
      <w:numFmt w:val="lowerLetter"/>
      <w:lvlText w:val="%5."/>
      <w:lvlJc w:val="left"/>
      <w:pPr>
        <w:ind w:left="3240" w:hanging="360"/>
      </w:pPr>
    </w:lvl>
    <w:lvl w:ilvl="5" w:tplc="5B50991C">
      <w:start w:val="1"/>
      <w:numFmt w:val="lowerRoman"/>
      <w:lvlText w:val="%6."/>
      <w:lvlJc w:val="right"/>
      <w:pPr>
        <w:ind w:left="3960" w:hanging="180"/>
      </w:pPr>
    </w:lvl>
    <w:lvl w:ilvl="6" w:tplc="2FEAB028">
      <w:start w:val="1"/>
      <w:numFmt w:val="decimal"/>
      <w:lvlText w:val="%7."/>
      <w:lvlJc w:val="left"/>
      <w:pPr>
        <w:ind w:left="4680" w:hanging="360"/>
      </w:pPr>
    </w:lvl>
    <w:lvl w:ilvl="7" w:tplc="A3403660">
      <w:start w:val="1"/>
      <w:numFmt w:val="lowerLetter"/>
      <w:lvlText w:val="%8."/>
      <w:lvlJc w:val="left"/>
      <w:pPr>
        <w:ind w:left="5400" w:hanging="360"/>
      </w:pPr>
    </w:lvl>
    <w:lvl w:ilvl="8" w:tplc="7C821D46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75686B"/>
    <w:multiLevelType w:val="hybridMultilevel"/>
    <w:tmpl w:val="1F86B8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93156E0"/>
    <w:multiLevelType w:val="hybridMultilevel"/>
    <w:tmpl w:val="33CED76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4775625">
    <w:abstractNumId w:val="1"/>
  </w:num>
  <w:num w:numId="2" w16cid:durableId="808136085">
    <w:abstractNumId w:val="4"/>
  </w:num>
  <w:num w:numId="3" w16cid:durableId="91049489">
    <w:abstractNumId w:val="3"/>
  </w:num>
  <w:num w:numId="4" w16cid:durableId="1853183040">
    <w:abstractNumId w:val="6"/>
  </w:num>
  <w:num w:numId="5" w16cid:durableId="1877278924">
    <w:abstractNumId w:val="5"/>
  </w:num>
  <w:num w:numId="6" w16cid:durableId="43064170">
    <w:abstractNumId w:val="0"/>
  </w:num>
  <w:num w:numId="7" w16cid:durableId="1585531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B3C"/>
    <w:rsid w:val="00030993"/>
    <w:rsid w:val="00080070"/>
    <w:rsid w:val="00084869"/>
    <w:rsid w:val="000A769A"/>
    <w:rsid w:val="00104B3C"/>
    <w:rsid w:val="00153C5B"/>
    <w:rsid w:val="001F61B2"/>
    <w:rsid w:val="0023524E"/>
    <w:rsid w:val="002B08E7"/>
    <w:rsid w:val="003522AE"/>
    <w:rsid w:val="003D6BFB"/>
    <w:rsid w:val="004504D7"/>
    <w:rsid w:val="004949A1"/>
    <w:rsid w:val="004E6EA8"/>
    <w:rsid w:val="00620341"/>
    <w:rsid w:val="00690B75"/>
    <w:rsid w:val="006B43E5"/>
    <w:rsid w:val="0079263B"/>
    <w:rsid w:val="007B3F7B"/>
    <w:rsid w:val="008D7B24"/>
    <w:rsid w:val="00946FFB"/>
    <w:rsid w:val="00A76A9C"/>
    <w:rsid w:val="00B960CB"/>
    <w:rsid w:val="00D23E6F"/>
    <w:rsid w:val="00D422F7"/>
    <w:rsid w:val="00D56A00"/>
    <w:rsid w:val="00DA05DE"/>
    <w:rsid w:val="00E3402E"/>
    <w:rsid w:val="00E84A6C"/>
    <w:rsid w:val="00F0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8E153"/>
  <w15:chartTrackingRefBased/>
  <w15:docId w15:val="{6E77E4BB-F21B-4408-839A-73183C88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4B3C"/>
    <w:pPr>
      <w:spacing w:line="279" w:lineRule="auto"/>
    </w:pPr>
    <w:rPr>
      <w:rFonts w:eastAsiaTheme="minorEastAsia"/>
      <w:kern w:val="0"/>
      <w:lang w:val="en-US" w:eastAsia="ja-JP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04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4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4B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4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4B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4B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4B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4B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4B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4B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4B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4B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4B3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4B3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4B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4B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4B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4B3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4B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4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4B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04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4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04B3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4B3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04B3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4B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4B3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4B3C"/>
    <w:rPr>
      <w:b/>
      <w:bCs/>
      <w:smallCaps/>
      <w:color w:val="0F4761" w:themeColor="accent1" w:themeShade="BF"/>
      <w:spacing w:val="5"/>
    </w:rPr>
  </w:style>
  <w:style w:type="paragraph" w:styleId="Textkomente">
    <w:name w:val="annotation text"/>
    <w:basedOn w:val="Normln"/>
    <w:link w:val="TextkomenteChar"/>
    <w:uiPriority w:val="99"/>
    <w:unhideWhenUsed/>
    <w:rsid w:val="00104B3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04B3C"/>
    <w:rPr>
      <w:rFonts w:eastAsiaTheme="minorEastAsia"/>
      <w:kern w:val="0"/>
      <w:sz w:val="20"/>
      <w:szCs w:val="20"/>
      <w:lang w:val="en-US" w:eastAsia="ja-JP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104B3C"/>
    <w:rPr>
      <w:sz w:val="16"/>
      <w:szCs w:val="16"/>
    </w:rPr>
  </w:style>
  <w:style w:type="paragraph" w:styleId="Seznamsodrkami">
    <w:name w:val="List Bullet"/>
    <w:basedOn w:val="Normln"/>
    <w:uiPriority w:val="99"/>
    <w:unhideWhenUsed/>
    <w:rsid w:val="00104B3C"/>
    <w:pPr>
      <w:numPr>
        <w:numId w:val="6"/>
      </w:numPr>
      <w:contextualSpacing/>
    </w:pPr>
  </w:style>
  <w:style w:type="paragraph" w:styleId="Revize">
    <w:name w:val="Revision"/>
    <w:hidden/>
    <w:uiPriority w:val="99"/>
    <w:semiHidden/>
    <w:rsid w:val="003522AE"/>
    <w:pPr>
      <w:spacing w:after="0" w:line="240" w:lineRule="auto"/>
    </w:pPr>
    <w:rPr>
      <w:rFonts w:eastAsiaTheme="minorEastAsia"/>
      <w:kern w:val="0"/>
      <w:lang w:val="en-US" w:eastAsia="ja-JP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6F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6FFB"/>
    <w:rPr>
      <w:rFonts w:eastAsiaTheme="minorEastAsia"/>
      <w:b/>
      <w:bCs/>
      <w:kern w:val="0"/>
      <w:sz w:val="20"/>
      <w:szCs w:val="20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4579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Linhartová Miroslava, Mgr.</dc:creator>
  <cp:keywords/>
  <dc:description/>
  <cp:lastModifiedBy>Linhartová Miroslava, Mgr.</cp:lastModifiedBy>
  <cp:revision>2</cp:revision>
  <dcterms:created xsi:type="dcterms:W3CDTF">2026-01-30T12:25:00Z</dcterms:created>
  <dcterms:modified xsi:type="dcterms:W3CDTF">2026-01-30T12:25:00Z</dcterms:modified>
</cp:coreProperties>
</file>