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cs-CZ"/>
        </w:rPr>
        <w:id w:val="171137486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28CC637C" w14:textId="77777777" w:rsidR="001F4AC8" w:rsidRDefault="001F4AC8" w:rsidP="00165325">
          <w:pPr>
            <w:pStyle w:val="Nadpisobsahu"/>
            <w:ind w:left="720" w:hanging="720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val="cs-CZ"/>
            </w:rPr>
          </w:pPr>
        </w:p>
        <w:p w14:paraId="269F1965" w14:textId="7C7AB460" w:rsidR="001F4AC8" w:rsidRPr="001F4AC8" w:rsidRDefault="001F4AC8" w:rsidP="001F4AC8">
          <w:pPr>
            <w:pStyle w:val="Nadpis1"/>
            <w:jc w:val="center"/>
            <w:rPr>
              <w:rFonts w:asciiTheme="minorHAnsi" w:hAnsiTheme="minorHAnsi" w:cstheme="minorHAnsi"/>
              <w:lang w:val="cs-CZ"/>
            </w:rPr>
          </w:pPr>
          <w:r w:rsidRPr="001F4AC8">
            <w:rPr>
              <w:rFonts w:asciiTheme="minorHAnsi" w:hAnsiTheme="minorHAnsi" w:cstheme="minorHAnsi"/>
              <w:lang w:val="cs-CZ"/>
            </w:rPr>
            <w:t>Doporučení České společnosti úrazové chirurgie</w:t>
          </w:r>
        </w:p>
        <w:p w14:paraId="083940EE" w14:textId="0A66C49C" w:rsidR="001F4AC8" w:rsidRPr="001F4AC8" w:rsidRDefault="001F4AC8" w:rsidP="001F4AC8">
          <w:pPr>
            <w:pStyle w:val="Nadpis1"/>
            <w:jc w:val="center"/>
            <w:rPr>
              <w:rFonts w:asciiTheme="minorHAnsi" w:hAnsiTheme="minorHAnsi" w:cstheme="minorHAnsi"/>
              <w:lang w:val="cs-CZ"/>
            </w:rPr>
          </w:pPr>
          <w:r w:rsidRPr="001F4AC8">
            <w:rPr>
              <w:rFonts w:asciiTheme="minorHAnsi" w:hAnsiTheme="minorHAnsi" w:cstheme="minorHAnsi"/>
              <w:lang w:val="cs-CZ"/>
            </w:rPr>
            <w:t>České lékařské společnosti Jana Evangelisty Purkyně</w:t>
          </w:r>
        </w:p>
        <w:p w14:paraId="3078C355" w14:textId="77777777" w:rsidR="001F4AC8" w:rsidRPr="001F4AC8" w:rsidRDefault="001F4AC8" w:rsidP="001F4AC8">
          <w:pPr>
            <w:pStyle w:val="Nadpis1"/>
            <w:jc w:val="center"/>
            <w:rPr>
              <w:rFonts w:asciiTheme="minorHAnsi" w:hAnsiTheme="minorHAnsi" w:cstheme="minorHAnsi"/>
              <w:lang w:val="cs-CZ"/>
            </w:rPr>
          </w:pPr>
          <w:r w:rsidRPr="001F4AC8">
            <w:rPr>
              <w:rFonts w:asciiTheme="minorHAnsi" w:hAnsiTheme="minorHAnsi" w:cstheme="minorHAnsi"/>
              <w:lang w:val="cs-CZ"/>
            </w:rPr>
            <w:t xml:space="preserve">pro použití diagnostického testu </w:t>
          </w:r>
          <w:proofErr w:type="spellStart"/>
          <w:r w:rsidRPr="001F4AC8">
            <w:rPr>
              <w:rFonts w:asciiTheme="minorHAnsi" w:hAnsiTheme="minorHAnsi" w:cstheme="minorHAnsi"/>
              <w:i/>
              <w:iCs/>
              <w:lang w:val="cs-CZ"/>
            </w:rPr>
            <w:t>Abbott</w:t>
          </w:r>
          <w:proofErr w:type="spellEnd"/>
          <w:r w:rsidRPr="001F4AC8">
            <w:rPr>
              <w:rFonts w:asciiTheme="minorHAnsi" w:hAnsiTheme="minorHAnsi" w:cstheme="minorHAnsi"/>
              <w:i/>
              <w:iCs/>
              <w:lang w:val="cs-CZ"/>
            </w:rPr>
            <w:t xml:space="preserve"> </w:t>
          </w:r>
          <w:proofErr w:type="spellStart"/>
          <w:r w:rsidRPr="001F4AC8">
            <w:rPr>
              <w:rFonts w:asciiTheme="minorHAnsi" w:hAnsiTheme="minorHAnsi" w:cstheme="minorHAnsi"/>
              <w:i/>
              <w:iCs/>
              <w:lang w:val="cs-CZ"/>
            </w:rPr>
            <w:t>mTBI</w:t>
          </w:r>
          <w:proofErr w:type="spellEnd"/>
          <w:r w:rsidRPr="001F4AC8">
            <w:rPr>
              <w:rFonts w:asciiTheme="minorHAnsi" w:hAnsiTheme="minorHAnsi" w:cstheme="minorHAnsi"/>
              <w:i/>
              <w:iCs/>
              <w:lang w:val="cs-CZ"/>
            </w:rPr>
            <w:t xml:space="preserve"> </w:t>
          </w:r>
          <w:r w:rsidRPr="001F4AC8">
            <w:rPr>
              <w:rFonts w:asciiTheme="minorHAnsi" w:hAnsiTheme="minorHAnsi" w:cstheme="minorHAnsi"/>
              <w:lang w:val="cs-CZ"/>
            </w:rPr>
            <w:t>pří diagnostice pacientů</w:t>
          </w:r>
        </w:p>
        <w:p w14:paraId="27AE67E3" w14:textId="23EA4F86" w:rsidR="001F4AC8" w:rsidRPr="001F4AC8" w:rsidRDefault="001F4AC8" w:rsidP="001F4AC8">
          <w:pPr>
            <w:pStyle w:val="Nadpis1"/>
            <w:jc w:val="center"/>
            <w:rPr>
              <w:rFonts w:asciiTheme="minorHAnsi" w:hAnsiTheme="minorHAnsi" w:cstheme="minorHAnsi"/>
              <w:lang w:val="cs-CZ"/>
            </w:rPr>
          </w:pPr>
          <w:r w:rsidRPr="001F4AC8">
            <w:rPr>
              <w:rFonts w:asciiTheme="minorHAnsi" w:hAnsiTheme="minorHAnsi" w:cstheme="minorHAnsi"/>
              <w:lang w:val="cs-CZ"/>
            </w:rPr>
            <w:t>s kraniocerebrálním traumatem</w:t>
          </w:r>
        </w:p>
        <w:p w14:paraId="68D445B5" w14:textId="372D0127" w:rsidR="001F4AC8" w:rsidRPr="00F31166" w:rsidRDefault="001F4AC8" w:rsidP="001F4AC8">
          <w:pPr>
            <w:rPr>
              <w:lang w:val="cs-CZ"/>
            </w:rPr>
          </w:pPr>
          <w:r w:rsidRPr="001F4AC8">
            <w:rPr>
              <w:noProof/>
              <w:lang w:val="cs-CZ"/>
            </w:rPr>
            <mc:AlternateContent>
              <mc:Choice Requires="wps">
                <w:drawing>
                  <wp:anchor distT="45720" distB="45720" distL="114300" distR="114300" simplePos="0" relativeHeight="251659264" behindDoc="0" locked="0" layoutInCell="1" allowOverlap="1" wp14:anchorId="54920723" wp14:editId="238A6925">
                    <wp:simplePos x="0" y="0"/>
                    <wp:positionH relativeFrom="column">
                      <wp:posOffset>1811020</wp:posOffset>
                    </wp:positionH>
                    <wp:positionV relativeFrom="paragraph">
                      <wp:posOffset>3967229</wp:posOffset>
                    </wp:positionV>
                    <wp:extent cx="2360930" cy="1404620"/>
                    <wp:effectExtent l="0" t="0" r="3810" b="3175"/>
                    <wp:wrapSquare wrapText="bothSides"/>
                    <wp:docPr id="217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60930" cy="1404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1A80AA6" w14:textId="40DABB0C" w:rsidR="001F4AC8" w:rsidRDefault="001F4AC8" w:rsidP="001F4AC8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F01C1B5" wp14:editId="2356F87E">
                                      <wp:extent cx="2162810" cy="2162810"/>
                                      <wp:effectExtent l="0" t="0" r="8890" b="0"/>
                                      <wp:docPr id="31981246" name="Picture 31981246" descr="/Users/fonti/Desktop/logo/logo_csuch.pn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/Users/fonti/Desktop/logo/logo_csuch.png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162810" cy="216281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40000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5492072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142.6pt;margin-top:312.4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A5P9WV4QAAAAsBAAAPAAAAZHJzL2Rvd25yZXYueG1sTI/LTsMwEEX3SPyDNUhsEHVqtSEKcary&#10;2rBrCRLLaTxNArEdxW4b+HqmK1iO5urec4rVZHtxpDF03mmYzxIQ5GpvOtdoqN5ebjMQIaIz2HtH&#10;Gr4pwKq8vCgwN/7kNnTcxkZwiQs5amhjHHIpQ92SxTDzAzn+7f1oMfI5NtKMeOJy20uVJKm02Dle&#10;aHGgx5bqr+3Bavh5qJ7WzzdxvlfxQ71v7GtVf6LW11fT+h5EpCn+heGMz+hQMtPOH5wJotegsqXi&#10;qIZULdiBE+nyju12GrJFmoAsC/nfofwFAAD//wMAUEsBAi0AFAAGAAgAAAAhALaDOJL+AAAA4QEA&#10;ABMAAAAAAAAAAAAAAAAAAAAAAFtDb250ZW50X1R5cGVzXS54bWxQSwECLQAUAAYACAAAACEAOP0h&#10;/9YAAACUAQAACwAAAAAAAAAAAAAAAAAvAQAAX3JlbHMvLnJlbHNQSwECLQAUAAYACAAAACEAtUEY&#10;cQ4CAAD3AwAADgAAAAAAAAAAAAAAAAAuAgAAZHJzL2Uyb0RvYy54bWxQSwECLQAUAAYACAAAACEA&#10;OT/VleEAAAALAQAADwAAAAAAAAAAAAAAAABoBAAAZHJzL2Rvd25yZXYueG1sUEsFBgAAAAAEAAQA&#10;8wAAAHYFAAAAAA==&#10;" stroked="f">
                    <v:textbox style="mso-fit-shape-to-text:t">
                      <w:txbxContent>
                        <w:p w14:paraId="51A80AA6" w14:textId="40DABB0C" w:rsidR="001F4AC8" w:rsidRDefault="001F4AC8" w:rsidP="001F4AC8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F01C1B5" wp14:editId="2356F87E">
                                <wp:extent cx="2162810" cy="2162810"/>
                                <wp:effectExtent l="0" t="0" r="8890" b="0"/>
                                <wp:docPr id="31981246" name="Picture 31981246" descr="/Users/fonti/Desktop/logo/logo_csuch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/Users/fonti/Desktop/logo/logo_csuch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62810" cy="21628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>
            <w:rPr>
              <w:lang w:val="cs-CZ"/>
            </w:rPr>
            <w:br w:type="page"/>
          </w:r>
        </w:p>
        <w:p w14:paraId="32830D37" w14:textId="77777777" w:rsidR="001F4AC8" w:rsidRPr="004E7438" w:rsidRDefault="001F4AC8" w:rsidP="001F4AC8">
          <w:pPr>
            <w:pStyle w:val="Nadpisobsahu"/>
            <w:ind w:left="720" w:hanging="720"/>
            <w:rPr>
              <w:lang w:val="cs-CZ"/>
            </w:rPr>
          </w:pPr>
          <w:r w:rsidRPr="004E7438">
            <w:rPr>
              <w:lang w:val="cs-CZ"/>
            </w:rPr>
            <w:lastRenderedPageBreak/>
            <w:t>Obsah</w:t>
          </w:r>
        </w:p>
        <w:p w14:paraId="689ED65D" w14:textId="526CCA3F" w:rsidR="001F4AC8" w:rsidRDefault="001F4AC8" w:rsidP="001F4AC8">
          <w:pPr>
            <w:pStyle w:val="Obsah1"/>
            <w:rPr>
              <w:rFonts w:eastAsiaTheme="minorEastAsia"/>
              <w:noProof/>
              <w:kern w:val="2"/>
              <w:lang w:val="sk-SK" w:eastAsia="sk-SK"/>
              <w14:ligatures w14:val="standardContextual"/>
            </w:rPr>
          </w:pPr>
          <w:r w:rsidRPr="004E7438">
            <w:rPr>
              <w:lang w:val="cs-CZ"/>
            </w:rPr>
            <w:fldChar w:fldCharType="begin"/>
          </w:r>
          <w:r w:rsidRPr="004E7438">
            <w:rPr>
              <w:lang w:val="cs-CZ"/>
            </w:rPr>
            <w:instrText xml:space="preserve"> TOC \o "1-3" \h \z \u </w:instrText>
          </w:r>
          <w:r w:rsidRPr="004E7438">
            <w:rPr>
              <w:lang w:val="cs-CZ"/>
            </w:rPr>
            <w:fldChar w:fldCharType="separate"/>
          </w:r>
          <w:hyperlink w:anchor="_Toc174350723" w:history="1">
            <w:r w:rsidRPr="0063593B">
              <w:rPr>
                <w:rStyle w:val="Hypertextovodkaz"/>
                <w:b/>
                <w:bCs/>
                <w:noProof/>
                <w:lang w:val="cs-CZ"/>
              </w:rPr>
              <w:t>1.</w:t>
            </w:r>
            <w:r>
              <w:rPr>
                <w:rFonts w:eastAsiaTheme="minorEastAsia"/>
                <w:noProof/>
                <w:kern w:val="2"/>
                <w:lang w:val="sk-SK" w:eastAsia="sk-SK"/>
                <w14:ligatures w14:val="standardContextual"/>
              </w:rPr>
              <w:tab/>
            </w:r>
            <w:r w:rsidRPr="0063593B">
              <w:rPr>
                <w:rStyle w:val="Hypertextovodkaz"/>
                <w:b/>
                <w:bCs/>
                <w:noProof/>
                <w:lang w:val="cs-CZ"/>
              </w:rPr>
              <w:t>Úvod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_Toc174350723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408C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929064" w14:textId="6643D317" w:rsidR="001F4AC8" w:rsidRDefault="001F4AC8" w:rsidP="001F4AC8">
          <w:pPr>
            <w:pStyle w:val="Obsah2"/>
            <w:rPr>
              <w:rFonts w:eastAsiaTheme="minorEastAsia"/>
              <w:noProof/>
              <w:kern w:val="2"/>
              <w:lang w:val="sk-SK" w:eastAsia="sk-SK"/>
              <w14:ligatures w14:val="standardContextual"/>
            </w:rPr>
          </w:pPr>
          <w:hyperlink w:anchor="_Toc174350724" w:history="1">
            <w:r w:rsidRPr="0063593B">
              <w:rPr>
                <w:rStyle w:val="Hypertextovodkaz"/>
                <w:noProof/>
                <w:lang w:val="cs-CZ"/>
              </w:rPr>
              <w:t>1.1</w:t>
            </w:r>
            <w:r>
              <w:rPr>
                <w:rFonts w:eastAsiaTheme="minorEastAsia"/>
                <w:noProof/>
                <w:kern w:val="2"/>
                <w:lang w:val="sk-SK" w:eastAsia="sk-SK"/>
                <w14:ligatures w14:val="standardContextual"/>
              </w:rPr>
              <w:tab/>
            </w:r>
            <w:r w:rsidRPr="0063593B">
              <w:rPr>
                <w:rStyle w:val="Hypertextovodkaz"/>
                <w:noProof/>
                <w:lang w:val="cs-CZ"/>
              </w:rPr>
              <w:t>Výskyt lehkého poranění mozku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_Toc174350724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408C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BA27AB" w14:textId="28E1D939" w:rsidR="001F4AC8" w:rsidRDefault="001F4AC8" w:rsidP="001F4AC8">
          <w:pPr>
            <w:pStyle w:val="Obsah2"/>
            <w:rPr>
              <w:rFonts w:eastAsiaTheme="minorEastAsia"/>
              <w:noProof/>
              <w:kern w:val="2"/>
              <w:lang w:val="sk-SK" w:eastAsia="sk-SK"/>
              <w14:ligatures w14:val="standardContextual"/>
            </w:rPr>
          </w:pPr>
          <w:hyperlink w:anchor="_Toc174350725" w:history="1">
            <w:r w:rsidRPr="0063593B">
              <w:rPr>
                <w:rStyle w:val="Hypertextovodkaz"/>
                <w:noProof/>
                <w:lang w:val="cs-CZ"/>
              </w:rPr>
              <w:t>1.2</w:t>
            </w:r>
            <w:r>
              <w:rPr>
                <w:rFonts w:eastAsiaTheme="minorEastAsia"/>
                <w:noProof/>
                <w:kern w:val="2"/>
                <w:lang w:val="sk-SK" w:eastAsia="sk-SK"/>
                <w14:ligatures w14:val="standardContextual"/>
              </w:rPr>
              <w:tab/>
            </w:r>
            <w:r w:rsidRPr="0063593B">
              <w:rPr>
                <w:rStyle w:val="Hypertextovodkaz"/>
                <w:noProof/>
                <w:lang w:val="cs-CZ"/>
              </w:rPr>
              <w:t>Glasgow coma scale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_Toc174350725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408C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908EB4" w14:textId="58C3CA02" w:rsidR="001F4AC8" w:rsidRDefault="001F4AC8" w:rsidP="001F4AC8">
          <w:pPr>
            <w:pStyle w:val="Obsah2"/>
            <w:rPr>
              <w:rFonts w:eastAsiaTheme="minorEastAsia"/>
              <w:noProof/>
              <w:kern w:val="2"/>
              <w:lang w:val="sk-SK" w:eastAsia="sk-SK"/>
              <w14:ligatures w14:val="standardContextual"/>
            </w:rPr>
          </w:pPr>
          <w:hyperlink w:anchor="_Toc174350726" w:history="1">
            <w:r w:rsidRPr="0063593B">
              <w:rPr>
                <w:rStyle w:val="Hypertextovodkaz"/>
                <w:noProof/>
                <w:lang w:val="cs-CZ"/>
              </w:rPr>
              <w:t xml:space="preserve">1.3 </w:t>
            </w:r>
            <w:r>
              <w:rPr>
                <w:rStyle w:val="Hypertextovodkaz"/>
                <w:noProof/>
                <w:lang w:val="cs-CZ"/>
              </w:rPr>
              <w:t xml:space="preserve">      </w:t>
            </w:r>
            <w:r w:rsidRPr="0063593B">
              <w:rPr>
                <w:rStyle w:val="Hypertextovodkaz"/>
                <w:noProof/>
                <w:lang w:val="cs-CZ"/>
              </w:rPr>
              <w:t>Biomarkery a mTBI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_Toc174350726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408C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BF8974" w14:textId="59EF8BBD" w:rsidR="001F4AC8" w:rsidRDefault="001F4AC8" w:rsidP="001F4AC8">
          <w:pPr>
            <w:pStyle w:val="Obsah2"/>
            <w:rPr>
              <w:rFonts w:eastAsiaTheme="minorEastAsia"/>
              <w:noProof/>
              <w:kern w:val="2"/>
              <w:lang w:val="sk-SK" w:eastAsia="sk-SK"/>
              <w14:ligatures w14:val="standardContextual"/>
            </w:rPr>
          </w:pPr>
          <w:hyperlink w:anchor="_Toc174350727" w:history="1">
            <w:r w:rsidRPr="0063593B">
              <w:rPr>
                <w:rStyle w:val="Hypertextovodkaz"/>
                <w:noProof/>
                <w:lang w:val="cs-CZ"/>
              </w:rPr>
              <w:t xml:space="preserve">1.4 </w:t>
            </w:r>
            <w:r>
              <w:rPr>
                <w:rStyle w:val="Hypertextovodkaz"/>
                <w:noProof/>
                <w:lang w:val="cs-CZ"/>
              </w:rPr>
              <w:t xml:space="preserve">      </w:t>
            </w:r>
            <w:r w:rsidRPr="0063593B">
              <w:rPr>
                <w:rStyle w:val="Hypertextovodkaz"/>
                <w:noProof/>
                <w:lang w:val="cs-CZ"/>
              </w:rPr>
              <w:t>Test mTBI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_Toc174350727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408C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08ED81" w14:textId="42CB8E1A" w:rsidR="001F4AC8" w:rsidRDefault="001F4AC8" w:rsidP="001F4AC8">
          <w:pPr>
            <w:pStyle w:val="Obsah1"/>
            <w:rPr>
              <w:rFonts w:eastAsiaTheme="minorEastAsia"/>
              <w:noProof/>
              <w:kern w:val="2"/>
              <w:lang w:val="sk-SK" w:eastAsia="sk-SK"/>
              <w14:ligatures w14:val="standardContextual"/>
            </w:rPr>
          </w:pPr>
          <w:hyperlink w:anchor="_Toc174350728" w:history="1">
            <w:r w:rsidRPr="0063593B">
              <w:rPr>
                <w:rStyle w:val="Hypertextovodkaz"/>
                <w:b/>
                <w:bCs/>
                <w:noProof/>
                <w:lang w:val="cs-CZ"/>
              </w:rPr>
              <w:t>2.</w:t>
            </w:r>
            <w:r>
              <w:rPr>
                <w:rFonts w:eastAsiaTheme="minorEastAsia"/>
                <w:noProof/>
                <w:kern w:val="2"/>
                <w:lang w:val="sk-SK" w:eastAsia="sk-SK"/>
                <w14:ligatures w14:val="standardContextual"/>
              </w:rPr>
              <w:tab/>
            </w:r>
            <w:r w:rsidRPr="0063593B">
              <w:rPr>
                <w:rStyle w:val="Hypertextovodkaz"/>
                <w:b/>
                <w:bCs/>
                <w:noProof/>
                <w:lang w:val="cs-CZ"/>
              </w:rPr>
              <w:t>Klinický přínos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_Toc174350728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408C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8C107B" w14:textId="1715EFDE" w:rsidR="001F4AC8" w:rsidRDefault="001F4AC8" w:rsidP="001F4AC8">
          <w:pPr>
            <w:pStyle w:val="Obsah1"/>
            <w:rPr>
              <w:rFonts w:eastAsiaTheme="minorEastAsia"/>
              <w:noProof/>
              <w:kern w:val="2"/>
              <w:lang w:val="sk-SK" w:eastAsia="sk-SK"/>
              <w14:ligatures w14:val="standardContextual"/>
            </w:rPr>
          </w:pPr>
          <w:hyperlink w:anchor="_Toc174350729" w:history="1">
            <w:r w:rsidRPr="0063593B">
              <w:rPr>
                <w:rStyle w:val="Hypertextovodkaz"/>
                <w:b/>
                <w:bCs/>
                <w:noProof/>
                <w:lang w:val="cs-CZ"/>
              </w:rPr>
              <w:t>3.</w:t>
            </w:r>
            <w:r>
              <w:rPr>
                <w:rFonts w:eastAsiaTheme="minorEastAsia"/>
                <w:noProof/>
                <w:kern w:val="2"/>
                <w:lang w:val="sk-SK" w:eastAsia="sk-SK"/>
                <w14:ligatures w14:val="standardContextual"/>
              </w:rPr>
              <w:tab/>
            </w:r>
            <w:r w:rsidRPr="0063593B">
              <w:rPr>
                <w:rStyle w:val="Hypertextovodkaz"/>
                <w:b/>
                <w:bCs/>
                <w:noProof/>
                <w:lang w:val="cs-CZ"/>
              </w:rPr>
              <w:t>Situace v České republice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_Toc174350729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408C0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611560" w14:textId="73373A27" w:rsidR="001F4AC8" w:rsidRDefault="001F4AC8" w:rsidP="001F4AC8">
          <w:pPr>
            <w:pStyle w:val="Obsah2"/>
            <w:rPr>
              <w:rFonts w:eastAsiaTheme="minorEastAsia"/>
              <w:noProof/>
              <w:kern w:val="2"/>
              <w:lang w:val="sk-SK" w:eastAsia="sk-SK"/>
              <w14:ligatures w14:val="standardContextual"/>
            </w:rPr>
          </w:pPr>
          <w:hyperlink w:anchor="_Toc174350730" w:history="1">
            <w:r w:rsidRPr="0063593B">
              <w:rPr>
                <w:rStyle w:val="Hypertextovodkaz"/>
                <w:noProof/>
                <w:lang w:val="cs-CZ"/>
              </w:rPr>
              <w:t>3.1.</w:t>
            </w:r>
            <w:r>
              <w:rPr>
                <w:rFonts w:eastAsiaTheme="minorEastAsia"/>
                <w:noProof/>
                <w:kern w:val="2"/>
                <w:lang w:val="sk-SK" w:eastAsia="sk-SK"/>
                <w14:ligatures w14:val="standardContextual"/>
              </w:rPr>
              <w:tab/>
            </w:r>
            <w:r w:rsidRPr="0063593B">
              <w:rPr>
                <w:rStyle w:val="Hypertextovodkaz"/>
                <w:noProof/>
                <w:lang w:val="cs-CZ"/>
              </w:rPr>
              <w:t>Aktuální odborná doporučení pro diagnostiku mTBI v České republice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_Toc174350730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408C0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7DE3C9" w14:textId="3D0FE8D5" w:rsidR="001F4AC8" w:rsidRDefault="001F4AC8" w:rsidP="001F4AC8">
          <w:pPr>
            <w:pStyle w:val="Obsah2"/>
            <w:rPr>
              <w:rFonts w:eastAsiaTheme="minorEastAsia"/>
              <w:noProof/>
              <w:kern w:val="2"/>
              <w:lang w:val="sk-SK" w:eastAsia="sk-SK"/>
              <w14:ligatures w14:val="standardContextual"/>
            </w:rPr>
          </w:pPr>
          <w:hyperlink w:anchor="_Toc174350731" w:history="1">
            <w:r w:rsidRPr="0063593B">
              <w:rPr>
                <w:rStyle w:val="Hypertextovodkaz"/>
                <w:noProof/>
                <w:lang w:val="cs-CZ"/>
              </w:rPr>
              <w:t>3.2 Dostupnost CT přístrojového vybavení v České republice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_Toc174350731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408C0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985CAD" w14:textId="64F1EAD2" w:rsidR="001F4AC8" w:rsidRDefault="001F4AC8" w:rsidP="001F4AC8">
          <w:pPr>
            <w:pStyle w:val="Obsah1"/>
            <w:rPr>
              <w:rFonts w:eastAsiaTheme="minorEastAsia"/>
              <w:noProof/>
              <w:kern w:val="2"/>
              <w:lang w:val="sk-SK" w:eastAsia="sk-SK"/>
              <w14:ligatures w14:val="standardContextual"/>
            </w:rPr>
          </w:pPr>
          <w:hyperlink w:anchor="_Toc174350732" w:history="1">
            <w:r w:rsidRPr="0063593B">
              <w:rPr>
                <w:rStyle w:val="Hypertextovodkaz"/>
                <w:b/>
                <w:bCs/>
                <w:noProof/>
                <w:lang w:val="cs-CZ"/>
              </w:rPr>
              <w:t>4.</w:t>
            </w:r>
            <w:r>
              <w:rPr>
                <w:rFonts w:eastAsiaTheme="minorEastAsia"/>
                <w:noProof/>
                <w:kern w:val="2"/>
                <w:lang w:val="sk-SK" w:eastAsia="sk-SK"/>
                <w14:ligatures w14:val="standardContextual"/>
              </w:rPr>
              <w:tab/>
            </w:r>
            <w:r w:rsidRPr="0063593B">
              <w:rPr>
                <w:rStyle w:val="Hypertextovodkaz"/>
                <w:b/>
                <w:bCs/>
                <w:noProof/>
                <w:lang w:val="cs-CZ"/>
              </w:rPr>
              <w:t>Situace ve světě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_Toc174350732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408C0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283DB3" w14:textId="0085E21A" w:rsidR="001F4AC8" w:rsidRDefault="001F4AC8" w:rsidP="001F4AC8">
          <w:pPr>
            <w:pStyle w:val="Obsah1"/>
            <w:rPr>
              <w:rFonts w:eastAsiaTheme="minorEastAsia"/>
              <w:noProof/>
              <w:kern w:val="2"/>
              <w:lang w:val="sk-SK" w:eastAsia="sk-SK"/>
              <w14:ligatures w14:val="standardContextual"/>
            </w:rPr>
          </w:pPr>
          <w:hyperlink w:anchor="_Toc174350733" w:history="1">
            <w:r w:rsidRPr="0063593B">
              <w:rPr>
                <w:rStyle w:val="Hypertextovodkaz"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lang w:val="sk-SK" w:eastAsia="sk-SK"/>
                <w14:ligatures w14:val="standardContextual"/>
              </w:rPr>
              <w:tab/>
            </w:r>
            <w:r w:rsidRPr="009A6AF7">
              <w:rPr>
                <w:rStyle w:val="Hypertextovodkaz"/>
                <w:b/>
                <w:bCs/>
                <w:noProof/>
              </w:rPr>
              <w:t>Návrh doporučení České společnosti úrazové chirurgie České lékařské společnosti Jana Evangelisty Purkyně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_Toc174350733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408C0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D3E899" w14:textId="47DF20F7" w:rsidR="001F4AC8" w:rsidRDefault="001F4AC8" w:rsidP="001F4AC8">
          <w:pPr>
            <w:pStyle w:val="Obsah2"/>
            <w:rPr>
              <w:rFonts w:eastAsiaTheme="minorEastAsia"/>
              <w:noProof/>
              <w:kern w:val="2"/>
              <w:lang w:val="sk-SK" w:eastAsia="sk-SK"/>
              <w14:ligatures w14:val="standardContextual"/>
            </w:rPr>
          </w:pPr>
          <w:hyperlink w:anchor="_Toc174350734" w:history="1">
            <w:r w:rsidRPr="0063593B">
              <w:rPr>
                <w:rStyle w:val="Hypertextovodkaz"/>
                <w:noProof/>
                <w:lang w:val="cs-CZ"/>
              </w:rPr>
              <w:t>5.1.</w:t>
            </w:r>
            <w:r>
              <w:rPr>
                <w:rFonts w:eastAsiaTheme="minorEastAsia"/>
                <w:noProof/>
                <w:kern w:val="2"/>
                <w:lang w:val="sk-SK" w:eastAsia="sk-SK"/>
                <w14:ligatures w14:val="standardContextual"/>
              </w:rPr>
              <w:tab/>
            </w:r>
            <w:r w:rsidRPr="0063593B">
              <w:rPr>
                <w:rStyle w:val="Hypertextovodkaz"/>
                <w:noProof/>
              </w:rPr>
              <w:t>Profil pacienta, u kterého je mTBI test vhodný k použití: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_Toc174350734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408C0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8F16FD" w14:textId="6BC88CA4" w:rsidR="001F4AC8" w:rsidRDefault="001F4AC8" w:rsidP="001F4AC8">
          <w:pPr>
            <w:pStyle w:val="Obsah2"/>
            <w:rPr>
              <w:rFonts w:eastAsiaTheme="minorEastAsia"/>
              <w:noProof/>
              <w:kern w:val="2"/>
              <w:lang w:val="sk-SK" w:eastAsia="sk-SK"/>
              <w14:ligatures w14:val="standardContextual"/>
            </w:rPr>
          </w:pPr>
          <w:hyperlink w:anchor="_Toc174350735" w:history="1">
            <w:r w:rsidRPr="0063593B">
              <w:rPr>
                <w:rStyle w:val="Hypertextovodkaz"/>
                <w:noProof/>
                <w:lang w:val="cs-CZ"/>
              </w:rPr>
              <w:t>5.2.</w:t>
            </w:r>
            <w:r>
              <w:rPr>
                <w:rFonts w:eastAsiaTheme="minorEastAsia"/>
                <w:noProof/>
                <w:kern w:val="2"/>
                <w:lang w:val="sk-SK" w:eastAsia="sk-SK"/>
                <w14:ligatures w14:val="standardContextual"/>
              </w:rPr>
              <w:tab/>
            </w:r>
            <w:r w:rsidRPr="0063593B">
              <w:rPr>
                <w:rStyle w:val="Hypertextovodkaz"/>
                <w:noProof/>
                <w:lang w:val="cs-CZ"/>
              </w:rPr>
              <w:t>Specializace a pracoviště, které test indikuje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_Toc174350735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408C0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71C6D9" w14:textId="2DC03110" w:rsidR="001F4AC8" w:rsidRDefault="001F4AC8" w:rsidP="001F4AC8">
          <w:pPr>
            <w:pStyle w:val="Obsah2"/>
            <w:rPr>
              <w:rFonts w:eastAsiaTheme="minorEastAsia"/>
              <w:noProof/>
              <w:kern w:val="2"/>
              <w:lang w:val="sk-SK" w:eastAsia="sk-SK"/>
              <w14:ligatures w14:val="standardContextual"/>
            </w:rPr>
          </w:pPr>
          <w:hyperlink w:anchor="_Toc174350736" w:history="1">
            <w:r w:rsidRPr="0063593B">
              <w:rPr>
                <w:rStyle w:val="Hypertextovodkaz"/>
                <w:noProof/>
                <w:lang w:val="cs-CZ"/>
              </w:rPr>
              <w:t>5.3.</w:t>
            </w:r>
            <w:r>
              <w:rPr>
                <w:rFonts w:eastAsiaTheme="minorEastAsia"/>
                <w:noProof/>
                <w:kern w:val="2"/>
                <w:lang w:val="sk-SK" w:eastAsia="sk-SK"/>
                <w14:ligatures w14:val="standardContextual"/>
              </w:rPr>
              <w:tab/>
            </w:r>
            <w:r w:rsidRPr="0063593B">
              <w:rPr>
                <w:rStyle w:val="Hypertextovodkaz"/>
                <w:noProof/>
                <w:lang w:val="cs-CZ"/>
              </w:rPr>
              <w:t>Odhadovaný počet pacientů za rok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_Toc174350736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408C0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E62BA1" w14:textId="0F3A7594" w:rsidR="001F4AC8" w:rsidRDefault="001F4AC8" w:rsidP="001F4AC8">
          <w:pPr>
            <w:pStyle w:val="Obsah2"/>
            <w:rPr>
              <w:rFonts w:eastAsiaTheme="minorEastAsia"/>
              <w:noProof/>
              <w:kern w:val="2"/>
              <w:lang w:val="sk-SK" w:eastAsia="sk-SK"/>
              <w14:ligatures w14:val="standardContextual"/>
            </w:rPr>
          </w:pPr>
          <w:hyperlink w:anchor="_Toc174350737" w:history="1">
            <w:r w:rsidRPr="0063593B">
              <w:rPr>
                <w:rStyle w:val="Hypertextovodkaz"/>
                <w:noProof/>
                <w:lang w:val="cs-CZ"/>
              </w:rPr>
              <w:t>5.4.</w:t>
            </w:r>
            <w:r>
              <w:rPr>
                <w:rFonts w:eastAsiaTheme="minorEastAsia"/>
                <w:noProof/>
                <w:kern w:val="2"/>
                <w:lang w:val="sk-SK" w:eastAsia="sk-SK"/>
                <w14:ligatures w14:val="standardContextual"/>
              </w:rPr>
              <w:tab/>
            </w:r>
            <w:r w:rsidRPr="0063593B">
              <w:rPr>
                <w:rStyle w:val="Hypertextovodkaz"/>
                <w:noProof/>
                <w:lang w:val="cs-CZ"/>
              </w:rPr>
              <w:t>Výhody testu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_Toc174350737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408C0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248D30" w14:textId="0FDB6EC1" w:rsidR="001F4AC8" w:rsidRDefault="001F4AC8" w:rsidP="001F4AC8">
          <w:pPr>
            <w:pStyle w:val="Obsah1"/>
            <w:rPr>
              <w:rFonts w:eastAsiaTheme="minorEastAsia"/>
              <w:noProof/>
              <w:kern w:val="2"/>
              <w:lang w:val="sk-SK" w:eastAsia="sk-SK"/>
              <w14:ligatures w14:val="standardContextual"/>
            </w:rPr>
          </w:pPr>
          <w:hyperlink w:anchor="_Toc174350738" w:history="1">
            <w:r w:rsidRPr="0063593B">
              <w:rPr>
                <w:rStyle w:val="Hypertextovodkaz"/>
                <w:noProof/>
                <w:lang w:val="cs-CZ"/>
              </w:rPr>
              <w:t>Odkazy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_Toc174350738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408C0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DED052" w14:textId="11D706CC" w:rsidR="001F4AC8" w:rsidRDefault="001F4AC8" w:rsidP="001F4AC8">
          <w:r w:rsidRPr="004E7438">
            <w:rPr>
              <w:b/>
              <w:bCs/>
              <w:noProof/>
              <w:lang w:val="cs-CZ"/>
            </w:rPr>
            <w:fldChar w:fldCharType="end"/>
          </w:r>
        </w:p>
        <w:p w14:paraId="5EE3AA8F" w14:textId="1DB4C19B" w:rsidR="00104D6E" w:rsidRPr="004E7438" w:rsidRDefault="0091576F">
          <w:pPr>
            <w:rPr>
              <w:lang w:val="cs-CZ"/>
            </w:rPr>
          </w:pPr>
        </w:p>
      </w:sdtContent>
    </w:sdt>
    <w:p w14:paraId="698B6AFC" w14:textId="2E4AA48E" w:rsidR="00A6663B" w:rsidRPr="004E7438" w:rsidRDefault="00A6663B" w:rsidP="000C0983">
      <w:pPr>
        <w:pStyle w:val="Nadpis1"/>
        <w:pageBreakBefore/>
        <w:numPr>
          <w:ilvl w:val="0"/>
          <w:numId w:val="10"/>
        </w:numPr>
        <w:ind w:left="714" w:hanging="357"/>
        <w:rPr>
          <w:b/>
          <w:bCs/>
          <w:lang w:val="cs-CZ"/>
        </w:rPr>
      </w:pPr>
      <w:bookmarkStart w:id="0" w:name="_Toc152598347"/>
      <w:bookmarkStart w:id="1" w:name="_Toc174350723"/>
      <w:r w:rsidRPr="004E7438">
        <w:rPr>
          <w:b/>
          <w:bCs/>
          <w:lang w:val="cs-CZ"/>
        </w:rPr>
        <w:lastRenderedPageBreak/>
        <w:t>Úvod</w:t>
      </w:r>
      <w:bookmarkEnd w:id="0"/>
      <w:bookmarkEnd w:id="1"/>
    </w:p>
    <w:p w14:paraId="47EA98F2" w14:textId="77777777" w:rsidR="00BC34BC" w:rsidRPr="004E7438" w:rsidRDefault="00BC34BC" w:rsidP="00BC34BC">
      <w:pPr>
        <w:rPr>
          <w:lang w:val="cs-CZ"/>
        </w:rPr>
      </w:pPr>
    </w:p>
    <w:p w14:paraId="1EFEC14F" w14:textId="4D2F0158" w:rsidR="009901BB" w:rsidRPr="004E7438" w:rsidRDefault="00BC34BC" w:rsidP="00BC34BC">
      <w:pPr>
        <w:pStyle w:val="Nadpis2"/>
        <w:numPr>
          <w:ilvl w:val="1"/>
          <w:numId w:val="11"/>
        </w:numPr>
        <w:rPr>
          <w:lang w:val="cs-CZ"/>
        </w:rPr>
      </w:pPr>
      <w:bookmarkStart w:id="2" w:name="_Toc152598348"/>
      <w:bookmarkStart w:id="3" w:name="_Toc174350724"/>
      <w:r w:rsidRPr="004E7438">
        <w:rPr>
          <w:lang w:val="cs-CZ"/>
        </w:rPr>
        <w:t>Výskyt lehkého poranění mozku</w:t>
      </w:r>
      <w:bookmarkEnd w:id="2"/>
      <w:bookmarkEnd w:id="3"/>
    </w:p>
    <w:p w14:paraId="249421EF" w14:textId="094AF9A3" w:rsidR="00A6663B" w:rsidRPr="001F4AC8" w:rsidRDefault="00A6663B" w:rsidP="00A6663B">
      <w:pPr>
        <w:rPr>
          <w:lang w:val="cs-CZ"/>
        </w:rPr>
      </w:pPr>
      <w:r w:rsidRPr="004E7438">
        <w:rPr>
          <w:lang w:val="cs-CZ"/>
        </w:rPr>
        <w:t xml:space="preserve">Roční incidence poranění mozku (TBI) je 349 případů na 100 000 obyvatel/rok (95% CI: 96,2-1266), z nichž naprostá většina </w:t>
      </w:r>
      <w:r w:rsidR="0070433E" w:rsidRPr="004E7438">
        <w:rPr>
          <w:lang w:val="cs-CZ"/>
        </w:rPr>
        <w:t>patří do podskupiny</w:t>
      </w:r>
      <w:r w:rsidRPr="004E7438">
        <w:rPr>
          <w:lang w:val="cs-CZ"/>
        </w:rPr>
        <w:t xml:space="preserve"> lehkého traumatického poranění mozku (</w:t>
      </w:r>
      <w:proofErr w:type="spellStart"/>
      <w:r w:rsidRPr="004E7438">
        <w:rPr>
          <w:lang w:val="cs-CZ"/>
        </w:rPr>
        <w:t>mTBI</w:t>
      </w:r>
      <w:proofErr w:type="spellEnd"/>
      <w:r w:rsidR="0070433E" w:rsidRPr="004E7438">
        <w:rPr>
          <w:lang w:val="cs-CZ"/>
        </w:rPr>
        <w:t xml:space="preserve"> – </w:t>
      </w:r>
      <w:proofErr w:type="spellStart"/>
      <w:r w:rsidR="0070433E" w:rsidRPr="004E7438">
        <w:rPr>
          <w:lang w:val="cs-CZ"/>
        </w:rPr>
        <w:t>mild</w:t>
      </w:r>
      <w:proofErr w:type="spellEnd"/>
      <w:r w:rsidR="0070433E" w:rsidRPr="004E7438">
        <w:rPr>
          <w:lang w:val="cs-CZ"/>
        </w:rPr>
        <w:t xml:space="preserve"> </w:t>
      </w:r>
      <w:proofErr w:type="spellStart"/>
      <w:r w:rsidR="0070433E" w:rsidRPr="004E7438">
        <w:rPr>
          <w:lang w:val="cs-CZ"/>
        </w:rPr>
        <w:t>traumatic</w:t>
      </w:r>
      <w:proofErr w:type="spellEnd"/>
      <w:r w:rsidR="0070433E" w:rsidRPr="004E7438">
        <w:rPr>
          <w:lang w:val="cs-CZ"/>
        </w:rPr>
        <w:t xml:space="preserve"> brain </w:t>
      </w:r>
      <w:proofErr w:type="spellStart"/>
      <w:r w:rsidR="0070433E" w:rsidRPr="004E7438">
        <w:rPr>
          <w:lang w:val="cs-CZ"/>
        </w:rPr>
        <w:t>injury</w:t>
      </w:r>
      <w:proofErr w:type="spellEnd"/>
      <w:r w:rsidRPr="004E7438">
        <w:rPr>
          <w:lang w:val="cs-CZ"/>
        </w:rPr>
        <w:t>), s incidencí 224 na 100 000 (95% CI: 120-418)</w:t>
      </w:r>
      <w:proofErr w:type="gramStart"/>
      <w:r w:rsidRPr="004E7438">
        <w:rPr>
          <w:vertAlign w:val="superscript"/>
          <w:lang w:val="cs-CZ"/>
        </w:rPr>
        <w:t>1</w:t>
      </w:r>
      <w:r w:rsidR="001F5AF4">
        <w:rPr>
          <w:vertAlign w:val="superscript"/>
          <w:lang w:val="cs-CZ"/>
        </w:rPr>
        <w:t xml:space="preserve"> </w:t>
      </w:r>
      <w:r w:rsidRPr="004E7438">
        <w:rPr>
          <w:lang w:val="cs-CZ"/>
        </w:rPr>
        <w:t>,</w:t>
      </w:r>
      <w:proofErr w:type="gramEnd"/>
      <w:r w:rsidRPr="004E7438">
        <w:rPr>
          <w:lang w:val="cs-CZ"/>
        </w:rPr>
        <w:t xml:space="preserve"> což představuje přibližně 25 000 pacientů za rok v České republice</w:t>
      </w:r>
      <w:r w:rsidRPr="001F4AC8">
        <w:rPr>
          <w:lang w:val="cs-CZ"/>
        </w:rPr>
        <w:t>. S ohledem na nárůst extrémních sportů v posledních letech toto číslo upravujeme na 35 000 pacientů ročně.</w:t>
      </w:r>
      <w:r w:rsidR="00937736" w:rsidRPr="001F4AC8">
        <w:rPr>
          <w:lang w:val="cs-CZ"/>
        </w:rPr>
        <w:t xml:space="preserve"> </w:t>
      </w:r>
      <w:r w:rsidR="00937736" w:rsidRPr="001F4AC8">
        <w:rPr>
          <w:vertAlign w:val="superscript"/>
          <w:lang w:val="cs-CZ"/>
        </w:rPr>
        <w:t>42</w:t>
      </w:r>
    </w:p>
    <w:p w14:paraId="3734FF5D" w14:textId="01CB44B8" w:rsidR="00BC34BC" w:rsidRPr="004E7438" w:rsidRDefault="00EF3B4F" w:rsidP="00EF3B4F">
      <w:pPr>
        <w:pStyle w:val="Nadpis2"/>
        <w:numPr>
          <w:ilvl w:val="1"/>
          <w:numId w:val="11"/>
        </w:numPr>
        <w:rPr>
          <w:lang w:val="cs-CZ"/>
        </w:rPr>
      </w:pPr>
      <w:bookmarkStart w:id="4" w:name="_Toc174350725"/>
      <w:bookmarkStart w:id="5" w:name="_Toc152598349"/>
      <w:r w:rsidRPr="004E7438">
        <w:rPr>
          <w:lang w:val="cs-CZ"/>
        </w:rPr>
        <w:t>Glasgow</w:t>
      </w:r>
      <w:r w:rsidR="0070433E" w:rsidRPr="004E7438">
        <w:rPr>
          <w:lang w:val="cs-CZ"/>
        </w:rPr>
        <w:t xml:space="preserve"> </w:t>
      </w:r>
      <w:proofErr w:type="spellStart"/>
      <w:r w:rsidR="0070433E" w:rsidRPr="004E7438">
        <w:rPr>
          <w:lang w:val="cs-CZ"/>
        </w:rPr>
        <w:t>coma</w:t>
      </w:r>
      <w:proofErr w:type="spellEnd"/>
      <w:r w:rsidR="0070433E" w:rsidRPr="004E7438">
        <w:rPr>
          <w:lang w:val="cs-CZ"/>
        </w:rPr>
        <w:t xml:space="preserve"> </w:t>
      </w:r>
      <w:proofErr w:type="spellStart"/>
      <w:r w:rsidR="0070433E" w:rsidRPr="004E7438">
        <w:rPr>
          <w:lang w:val="cs-CZ"/>
        </w:rPr>
        <w:t>scale</w:t>
      </w:r>
      <w:bookmarkEnd w:id="4"/>
      <w:proofErr w:type="spellEnd"/>
      <w:r w:rsidR="0070433E" w:rsidRPr="004E7438">
        <w:rPr>
          <w:lang w:val="cs-CZ"/>
        </w:rPr>
        <w:t xml:space="preserve"> </w:t>
      </w:r>
      <w:bookmarkEnd w:id="5"/>
    </w:p>
    <w:p w14:paraId="61E6A63D" w14:textId="11A9AE40" w:rsidR="00A6663B" w:rsidRPr="004E7438" w:rsidRDefault="00A6663B" w:rsidP="00A6663B">
      <w:pPr>
        <w:rPr>
          <w:lang w:val="cs-CZ"/>
        </w:rPr>
      </w:pPr>
      <w:r w:rsidRPr="004E7438">
        <w:rPr>
          <w:lang w:val="cs-CZ"/>
        </w:rPr>
        <w:t xml:space="preserve">Glasgow </w:t>
      </w:r>
      <w:proofErr w:type="spellStart"/>
      <w:r w:rsidRPr="004E7438">
        <w:rPr>
          <w:lang w:val="cs-CZ"/>
        </w:rPr>
        <w:t>Coma</w:t>
      </w:r>
      <w:proofErr w:type="spellEnd"/>
      <w:r w:rsidRPr="004E7438">
        <w:rPr>
          <w:lang w:val="cs-CZ"/>
        </w:rPr>
        <w:t xml:space="preserve"> </w:t>
      </w:r>
      <w:proofErr w:type="spellStart"/>
      <w:r w:rsidRPr="004E7438">
        <w:rPr>
          <w:lang w:val="cs-CZ"/>
        </w:rPr>
        <w:t>Scale</w:t>
      </w:r>
      <w:proofErr w:type="spellEnd"/>
      <w:r w:rsidRPr="004E7438">
        <w:rPr>
          <w:lang w:val="cs-CZ"/>
        </w:rPr>
        <w:t xml:space="preserve"> (GCS) je neurologická stupnice, jejímž cílem je poskytnout hodnocení vědomého stavu člověka a je jedním z nejčastěji používaných nástrojů pro počáteční hodnocení TBI. Evropská doporučení definují </w:t>
      </w:r>
      <w:proofErr w:type="spellStart"/>
      <w:r w:rsidRPr="004E7438">
        <w:rPr>
          <w:lang w:val="cs-CZ"/>
        </w:rPr>
        <w:t>mTBI</w:t>
      </w:r>
      <w:proofErr w:type="spellEnd"/>
      <w:r w:rsidRPr="004E7438">
        <w:rPr>
          <w:lang w:val="cs-CZ"/>
        </w:rPr>
        <w:t xml:space="preserve"> jako GCS 13-15, ačkoli pokyny pro diagnostiku a léčbu se v Evropě liší</w:t>
      </w:r>
      <w:r w:rsidRPr="004E7438">
        <w:rPr>
          <w:vertAlign w:val="superscript"/>
          <w:lang w:val="cs-CZ"/>
        </w:rPr>
        <w:t>1-3</w:t>
      </w:r>
      <w:r w:rsidR="004E7438" w:rsidRPr="004E7438">
        <w:rPr>
          <w:lang w:val="cs-CZ"/>
        </w:rPr>
        <w:t>.</w:t>
      </w:r>
      <w:r w:rsidR="004E7438">
        <w:rPr>
          <w:vertAlign w:val="superscript"/>
          <w:lang w:val="cs-CZ"/>
        </w:rPr>
        <w:t xml:space="preserve"> </w:t>
      </w:r>
      <w:r w:rsidRPr="004E7438">
        <w:rPr>
          <w:lang w:val="cs-CZ"/>
        </w:rPr>
        <w:t>Počítačová tomografie hlavy (CT) však zůstává zlatým standardem pro diagnostiku, částečně kvůli riziku nezjiště</w:t>
      </w:r>
      <w:r w:rsidR="0070433E" w:rsidRPr="004E7438">
        <w:rPr>
          <w:lang w:val="cs-CZ"/>
        </w:rPr>
        <w:t>ní</w:t>
      </w:r>
      <w:r w:rsidRPr="004E7438">
        <w:rPr>
          <w:lang w:val="cs-CZ"/>
        </w:rPr>
        <w:t xml:space="preserve"> poranění založeného výhradně na GCS a frekvenci hrubých abnormalit viditelných na CT i u pacientů s GCS 15</w:t>
      </w:r>
      <w:r w:rsidRPr="004E7438">
        <w:rPr>
          <w:vertAlign w:val="superscript"/>
          <w:lang w:val="cs-CZ"/>
        </w:rPr>
        <w:t>4</w:t>
      </w:r>
      <w:r w:rsidRPr="004E7438">
        <w:rPr>
          <w:lang w:val="cs-CZ"/>
        </w:rPr>
        <w:t xml:space="preserve">, </w:t>
      </w:r>
      <w:r w:rsidR="0070433E" w:rsidRPr="004E7438">
        <w:rPr>
          <w:lang w:val="cs-CZ"/>
        </w:rPr>
        <w:t>N</w:t>
      </w:r>
      <w:r w:rsidRPr="004E7438">
        <w:rPr>
          <w:lang w:val="cs-CZ"/>
        </w:rPr>
        <w:t xml:space="preserve">icméně ani CT hlavy </w:t>
      </w:r>
      <w:r w:rsidR="0070433E" w:rsidRPr="004E7438">
        <w:rPr>
          <w:lang w:val="cs-CZ"/>
        </w:rPr>
        <w:t>ne</w:t>
      </w:r>
      <w:r w:rsidRPr="004E7438">
        <w:rPr>
          <w:lang w:val="cs-CZ"/>
        </w:rPr>
        <w:t xml:space="preserve">může poskytnout dostatečné zobrazení pro predikci výsledků </w:t>
      </w:r>
      <w:proofErr w:type="spellStart"/>
      <w:r w:rsidRPr="004E7438">
        <w:rPr>
          <w:lang w:val="cs-CZ"/>
        </w:rPr>
        <w:t>mTBI</w:t>
      </w:r>
      <w:proofErr w:type="spellEnd"/>
      <w:r w:rsidRPr="004E7438">
        <w:rPr>
          <w:lang w:val="cs-CZ"/>
        </w:rPr>
        <w:t>, zejména ve srovnání se zobrazováním magnetickou rezonancí (MRI)</w:t>
      </w:r>
      <w:r w:rsidRPr="004E7438">
        <w:rPr>
          <w:vertAlign w:val="superscript"/>
          <w:lang w:val="cs-CZ"/>
        </w:rPr>
        <w:t>5</w:t>
      </w:r>
      <w:r w:rsidRPr="004E7438">
        <w:rPr>
          <w:lang w:val="cs-CZ"/>
        </w:rPr>
        <w:t>.</w:t>
      </w:r>
    </w:p>
    <w:p w14:paraId="2A5CF809" w14:textId="192FB243" w:rsidR="00EF3B4F" w:rsidRPr="004E7438" w:rsidRDefault="0005077E" w:rsidP="009B7C8C">
      <w:pPr>
        <w:pStyle w:val="Nadpis2"/>
        <w:rPr>
          <w:lang w:val="cs-CZ"/>
        </w:rPr>
      </w:pPr>
      <w:bookmarkStart w:id="6" w:name="_Toc152598350"/>
      <w:bookmarkStart w:id="7" w:name="_Toc174350726"/>
      <w:r w:rsidRPr="004E7438">
        <w:rPr>
          <w:lang w:val="cs-CZ"/>
        </w:rPr>
        <w:t xml:space="preserve">1.3 Biomarkery a </w:t>
      </w:r>
      <w:proofErr w:type="spellStart"/>
      <w:r w:rsidRPr="004E7438">
        <w:rPr>
          <w:lang w:val="cs-CZ"/>
        </w:rPr>
        <w:t>mTBI</w:t>
      </w:r>
      <w:bookmarkEnd w:id="6"/>
      <w:bookmarkEnd w:id="7"/>
      <w:proofErr w:type="spellEnd"/>
    </w:p>
    <w:p w14:paraId="688458E2" w14:textId="393D569A" w:rsidR="00A6663B" w:rsidRPr="004E7438" w:rsidRDefault="00A6663B" w:rsidP="00A6663B">
      <w:pPr>
        <w:rPr>
          <w:lang w:val="cs-CZ"/>
        </w:rPr>
      </w:pPr>
      <w:r w:rsidRPr="004E7438">
        <w:rPr>
          <w:lang w:val="cs-CZ"/>
        </w:rPr>
        <w:t>V poslední době se ukázalo, že mozkové biomarkery</w:t>
      </w:r>
      <w:r w:rsidR="004E7438">
        <w:rPr>
          <w:lang w:val="cs-CZ"/>
        </w:rPr>
        <w:t>, testované ze vzorku krve,</w:t>
      </w:r>
      <w:r w:rsidRPr="004E7438">
        <w:rPr>
          <w:lang w:val="cs-CZ"/>
        </w:rPr>
        <w:t xml:space="preserve"> jsou důležitým nástrojem pro predikci nepřítomnosti intrakraniálního poranění mozku po poranění hlavy a pro snížení </w:t>
      </w:r>
      <w:r w:rsidR="0070433E" w:rsidRPr="004E7438">
        <w:rPr>
          <w:lang w:val="cs-CZ"/>
        </w:rPr>
        <w:t>nad</w:t>
      </w:r>
      <w:r w:rsidRPr="004E7438">
        <w:rPr>
          <w:lang w:val="cs-CZ"/>
        </w:rPr>
        <w:t>bytečného použití CT. Z mnoha biomarkerů poškození mozku</w:t>
      </w:r>
      <w:r w:rsidR="004E7438">
        <w:rPr>
          <w:lang w:val="cs-CZ"/>
        </w:rPr>
        <w:t>,</w:t>
      </w:r>
      <w:r w:rsidRPr="004E7438">
        <w:rPr>
          <w:lang w:val="cs-CZ"/>
        </w:rPr>
        <w:t xml:space="preserve"> hodnocených u lidí pro tento účel</w:t>
      </w:r>
      <w:r w:rsidR="004E7438">
        <w:rPr>
          <w:lang w:val="cs-CZ"/>
        </w:rPr>
        <w:t>,</w:t>
      </w:r>
      <w:r w:rsidRPr="004E7438">
        <w:rPr>
          <w:lang w:val="cs-CZ"/>
        </w:rPr>
        <w:t xml:space="preserve"> byl nejvíce studován S100 vápník vázající protein B (S100B)</w:t>
      </w:r>
      <w:r w:rsidR="00A579A2">
        <w:rPr>
          <w:lang w:val="cs-CZ"/>
        </w:rPr>
        <w:t>.</w:t>
      </w:r>
      <w:r w:rsidRPr="004E7438">
        <w:rPr>
          <w:vertAlign w:val="superscript"/>
          <w:lang w:val="cs-CZ"/>
        </w:rPr>
        <w:t>6-</w:t>
      </w:r>
      <w:proofErr w:type="gramStart"/>
      <w:r w:rsidRPr="004E7438">
        <w:rPr>
          <w:vertAlign w:val="superscript"/>
          <w:lang w:val="cs-CZ"/>
        </w:rPr>
        <w:t>9</w:t>
      </w:r>
      <w:r w:rsidRPr="004E7438">
        <w:rPr>
          <w:lang w:val="cs-CZ"/>
        </w:rPr>
        <w:t xml:space="preserve">  T</w:t>
      </w:r>
      <w:r w:rsidR="0070433E" w:rsidRPr="004E7438">
        <w:rPr>
          <w:lang w:val="cs-CZ"/>
        </w:rPr>
        <w:t>ento</w:t>
      </w:r>
      <w:proofErr w:type="gramEnd"/>
      <w:r w:rsidRPr="004E7438">
        <w:rPr>
          <w:lang w:val="cs-CZ"/>
        </w:rPr>
        <w:t xml:space="preserve"> je však zřídka zahrnut</w:t>
      </w:r>
      <w:r w:rsidR="0070433E" w:rsidRPr="004E7438">
        <w:rPr>
          <w:lang w:val="cs-CZ"/>
        </w:rPr>
        <w:t xml:space="preserve"> </w:t>
      </w:r>
      <w:r w:rsidRPr="004E7438">
        <w:rPr>
          <w:lang w:val="cs-CZ"/>
        </w:rPr>
        <w:t>do diagnostických nebo rozhod</w:t>
      </w:r>
      <w:r w:rsidR="0070433E" w:rsidRPr="004E7438">
        <w:rPr>
          <w:lang w:val="cs-CZ"/>
        </w:rPr>
        <w:t>ova</w:t>
      </w:r>
      <w:r w:rsidRPr="004E7438">
        <w:rPr>
          <w:lang w:val="cs-CZ"/>
        </w:rPr>
        <w:t xml:space="preserve">cích algoritmů pro </w:t>
      </w:r>
      <w:proofErr w:type="spellStart"/>
      <w:r w:rsidRPr="004E7438">
        <w:rPr>
          <w:lang w:val="cs-CZ"/>
        </w:rPr>
        <w:t>mTBI</w:t>
      </w:r>
      <w:proofErr w:type="spellEnd"/>
      <w:r w:rsidRPr="004E7438">
        <w:rPr>
          <w:lang w:val="cs-CZ"/>
        </w:rPr>
        <w:t xml:space="preserve"> kvůli jeho nízké specificitě a zvýšenému riziku nedostatečné diagnostiky u pacientů, kteří </w:t>
      </w:r>
      <w:r w:rsidR="0070433E" w:rsidRPr="004E7438">
        <w:rPr>
          <w:lang w:val="cs-CZ"/>
        </w:rPr>
        <w:t>se dostaví</w:t>
      </w:r>
      <w:r w:rsidRPr="004E7438">
        <w:rPr>
          <w:lang w:val="cs-CZ"/>
        </w:rPr>
        <w:t xml:space="preserve"> na pohotovostní oddělení více než 6 hodin po poranění.</w:t>
      </w:r>
    </w:p>
    <w:p w14:paraId="3852D76E" w14:textId="01492479" w:rsidR="00A6663B" w:rsidRPr="004E7438" w:rsidRDefault="00B00F00" w:rsidP="00A6663B">
      <w:pPr>
        <w:rPr>
          <w:lang w:val="cs-CZ"/>
        </w:rPr>
      </w:pPr>
      <w:r>
        <w:rPr>
          <w:lang w:val="cs-CZ"/>
        </w:rPr>
        <w:t>Byly objeveny d</w:t>
      </w:r>
      <w:r w:rsidR="008E087B" w:rsidRPr="004E7438">
        <w:rPr>
          <w:lang w:val="cs-CZ"/>
        </w:rPr>
        <w:t xml:space="preserve">va proteiny, </w:t>
      </w:r>
      <w:proofErr w:type="spellStart"/>
      <w:r w:rsidR="008E087B" w:rsidRPr="004E7438">
        <w:rPr>
          <w:lang w:val="cs-CZ"/>
        </w:rPr>
        <w:t>gliální</w:t>
      </w:r>
      <w:proofErr w:type="spellEnd"/>
      <w:r w:rsidR="008E087B" w:rsidRPr="004E7438">
        <w:rPr>
          <w:lang w:val="cs-CZ"/>
        </w:rPr>
        <w:t xml:space="preserve"> fibrilární kyselý protein (GFAP) a </w:t>
      </w:r>
      <w:proofErr w:type="spellStart"/>
      <w:r w:rsidR="008E087B" w:rsidRPr="004E7438">
        <w:rPr>
          <w:lang w:val="cs-CZ"/>
        </w:rPr>
        <w:t>ubikvitin</w:t>
      </w:r>
      <w:proofErr w:type="spellEnd"/>
      <w:r w:rsidR="008E087B" w:rsidRPr="004E7438">
        <w:rPr>
          <w:lang w:val="cs-CZ"/>
        </w:rPr>
        <w:t xml:space="preserve"> C-terminální hydroláza-L1 (UCH-L1), </w:t>
      </w:r>
      <w:r>
        <w:rPr>
          <w:lang w:val="cs-CZ"/>
        </w:rPr>
        <w:t xml:space="preserve">o kterých je uvažováno jako o kandidátech </w:t>
      </w:r>
      <w:r w:rsidR="008E087B" w:rsidRPr="004E7438">
        <w:rPr>
          <w:lang w:val="cs-CZ"/>
        </w:rPr>
        <w:t xml:space="preserve">na potenciální řešení nedostatků biomarkeru S100B. Potvrzuje se, že oba proteiny mají signifikantně vyšší diagnostickou přesnost pro rozlišení mezi CT pozitivními a CT negativními pacienty s </w:t>
      </w:r>
      <w:proofErr w:type="spellStart"/>
      <w:r w:rsidR="008E087B" w:rsidRPr="004E7438">
        <w:rPr>
          <w:lang w:val="cs-CZ"/>
        </w:rPr>
        <w:t>mTBI</w:t>
      </w:r>
      <w:proofErr w:type="spellEnd"/>
      <w:r w:rsidR="008E087B" w:rsidRPr="004E7438">
        <w:rPr>
          <w:lang w:val="cs-CZ"/>
        </w:rPr>
        <w:t xml:space="preserve"> než S100B</w:t>
      </w:r>
      <w:r w:rsidR="00A579A2">
        <w:rPr>
          <w:lang w:val="cs-CZ"/>
        </w:rPr>
        <w:t>.</w:t>
      </w:r>
      <w:r w:rsidR="00A6663B" w:rsidRPr="004E7438">
        <w:rPr>
          <w:vertAlign w:val="superscript"/>
          <w:lang w:val="cs-CZ"/>
        </w:rPr>
        <w:t xml:space="preserve">10-13 </w:t>
      </w:r>
    </w:p>
    <w:p w14:paraId="1EF09C33" w14:textId="77777777" w:rsidR="009B7C8C" w:rsidRPr="004E7438" w:rsidRDefault="009B7C8C" w:rsidP="00A6663B">
      <w:pPr>
        <w:rPr>
          <w:lang w:val="cs-CZ"/>
        </w:rPr>
      </w:pPr>
    </w:p>
    <w:p w14:paraId="30E8FC15" w14:textId="1894B480" w:rsidR="009B7C8C" w:rsidRPr="004E7438" w:rsidRDefault="009B7C8C" w:rsidP="009B7C8C">
      <w:pPr>
        <w:pStyle w:val="Nadpis2"/>
        <w:rPr>
          <w:lang w:val="cs-CZ"/>
        </w:rPr>
      </w:pPr>
      <w:bookmarkStart w:id="8" w:name="_Toc152598351"/>
      <w:bookmarkStart w:id="9" w:name="_Toc174350727"/>
      <w:r w:rsidRPr="004E7438">
        <w:rPr>
          <w:lang w:val="cs-CZ"/>
        </w:rPr>
        <w:t xml:space="preserve">1.4 Test </w:t>
      </w:r>
      <w:proofErr w:type="spellStart"/>
      <w:r w:rsidRPr="004E7438">
        <w:rPr>
          <w:lang w:val="cs-CZ"/>
        </w:rPr>
        <w:t>mTBI</w:t>
      </w:r>
      <w:bookmarkEnd w:id="8"/>
      <w:bookmarkEnd w:id="9"/>
      <w:proofErr w:type="spellEnd"/>
    </w:p>
    <w:p w14:paraId="346F9D1A" w14:textId="003C05D2" w:rsidR="000D23A0" w:rsidRPr="004E7438" w:rsidRDefault="00097DC1" w:rsidP="00A6663B">
      <w:pPr>
        <w:rPr>
          <w:vertAlign w:val="superscript"/>
          <w:lang w:val="cs-CZ"/>
        </w:rPr>
      </w:pPr>
      <w:bookmarkStart w:id="10" w:name="_Hlk61359491"/>
      <w:r w:rsidRPr="004E7438">
        <w:rPr>
          <w:lang w:val="cs-CZ"/>
        </w:rPr>
        <w:t xml:space="preserve">Test TBI společnosti Abbott je panel </w:t>
      </w:r>
      <w:r w:rsidR="0070433E" w:rsidRPr="004E7438">
        <w:rPr>
          <w:lang w:val="cs-CZ"/>
        </w:rPr>
        <w:t xml:space="preserve">diagnostických kvantitativních měření </w:t>
      </w:r>
      <w:r w:rsidR="0070433E" w:rsidRPr="004E7438">
        <w:rPr>
          <w:i/>
          <w:iCs/>
          <w:lang w:val="cs-CZ"/>
        </w:rPr>
        <w:t>GFAP</w:t>
      </w:r>
      <w:r w:rsidR="0070433E" w:rsidRPr="004E7438">
        <w:rPr>
          <w:lang w:val="cs-CZ"/>
        </w:rPr>
        <w:t xml:space="preserve"> a </w:t>
      </w:r>
      <w:r w:rsidR="0070433E" w:rsidRPr="004E7438">
        <w:rPr>
          <w:i/>
          <w:iCs/>
          <w:lang w:val="cs-CZ"/>
        </w:rPr>
        <w:t>UCH-L1</w:t>
      </w:r>
      <w:r w:rsidR="0070433E" w:rsidRPr="004E7438">
        <w:rPr>
          <w:lang w:val="cs-CZ"/>
        </w:rPr>
        <w:t xml:space="preserve"> </w:t>
      </w:r>
      <w:r w:rsidR="0070433E" w:rsidRPr="003F3B2E">
        <w:rPr>
          <w:i/>
          <w:iCs/>
          <w:lang w:val="cs-CZ"/>
        </w:rPr>
        <w:t>in vitro</w:t>
      </w:r>
      <w:r w:rsidR="0070433E" w:rsidRPr="004E7438">
        <w:rPr>
          <w:lang w:val="cs-CZ"/>
        </w:rPr>
        <w:t xml:space="preserve"> </w:t>
      </w:r>
      <w:r w:rsidRPr="004E7438">
        <w:rPr>
          <w:lang w:val="cs-CZ"/>
        </w:rPr>
        <w:t xml:space="preserve">a poskytuje </w:t>
      </w:r>
      <w:proofErr w:type="spellStart"/>
      <w:r w:rsidRPr="004E7438">
        <w:rPr>
          <w:lang w:val="cs-CZ"/>
        </w:rPr>
        <w:t>semikvantitativní</w:t>
      </w:r>
      <w:proofErr w:type="spellEnd"/>
      <w:r w:rsidRPr="004E7438">
        <w:rPr>
          <w:lang w:val="cs-CZ"/>
        </w:rPr>
        <w:t xml:space="preserve"> interpretaci </w:t>
      </w:r>
      <w:r w:rsidRPr="004E7438">
        <w:rPr>
          <w:i/>
          <w:lang w:val="cs-CZ"/>
        </w:rPr>
        <w:t>GFAP</w:t>
      </w:r>
      <w:r w:rsidRPr="004E7438">
        <w:rPr>
          <w:lang w:val="cs-CZ"/>
        </w:rPr>
        <w:t xml:space="preserve"> a </w:t>
      </w:r>
      <w:r w:rsidRPr="004E7438">
        <w:rPr>
          <w:i/>
          <w:lang w:val="cs-CZ"/>
        </w:rPr>
        <w:t>UCH-L1</w:t>
      </w:r>
      <w:r w:rsidRPr="004E7438">
        <w:rPr>
          <w:lang w:val="cs-CZ"/>
        </w:rPr>
        <w:t xml:space="preserve"> který generuje pozitivní/negativní </w:t>
      </w:r>
      <w:proofErr w:type="gramStart"/>
      <w:r w:rsidRPr="004E7438">
        <w:rPr>
          <w:lang w:val="cs-CZ"/>
        </w:rPr>
        <w:t xml:space="preserve">výsledek,  </w:t>
      </w:r>
      <w:r w:rsidR="00320828">
        <w:rPr>
          <w:lang w:val="cs-CZ"/>
        </w:rPr>
        <w:t>u</w:t>
      </w:r>
      <w:r w:rsidRPr="004E7438">
        <w:rPr>
          <w:lang w:val="cs-CZ"/>
        </w:rPr>
        <w:t>rychl</w:t>
      </w:r>
      <w:r w:rsidR="00320828">
        <w:rPr>
          <w:lang w:val="cs-CZ"/>
        </w:rPr>
        <w:t>uje</w:t>
      </w:r>
      <w:proofErr w:type="gramEnd"/>
      <w:r w:rsidR="00320828">
        <w:rPr>
          <w:lang w:val="cs-CZ"/>
        </w:rPr>
        <w:t xml:space="preserve"> a upřesňuje </w:t>
      </w:r>
      <w:r w:rsidRPr="004E7438">
        <w:rPr>
          <w:lang w:val="cs-CZ"/>
        </w:rPr>
        <w:t xml:space="preserve"> léčbu pacientů s </w:t>
      </w:r>
      <w:proofErr w:type="spellStart"/>
      <w:r w:rsidRPr="004E7438">
        <w:rPr>
          <w:lang w:val="cs-CZ"/>
        </w:rPr>
        <w:t>mTBI</w:t>
      </w:r>
      <w:proofErr w:type="spellEnd"/>
      <w:r w:rsidRPr="004E7438">
        <w:rPr>
          <w:lang w:val="cs-CZ"/>
        </w:rPr>
        <w:t xml:space="preserve">, poskytuje integrovanou zdravotní péči, </w:t>
      </w:r>
      <w:r w:rsidR="0070433E" w:rsidRPr="004E7438">
        <w:rPr>
          <w:lang w:val="cs-CZ"/>
        </w:rPr>
        <w:t>zlepšuje ukazatele</w:t>
      </w:r>
      <w:r w:rsidRPr="004E7438">
        <w:rPr>
          <w:lang w:val="cs-CZ"/>
        </w:rPr>
        <w:t xml:space="preserve"> zaměřené na pacienta a rychlejší diagnostiku pacientů s </w:t>
      </w:r>
      <w:proofErr w:type="spellStart"/>
      <w:r w:rsidRPr="004E7438">
        <w:rPr>
          <w:lang w:val="cs-CZ"/>
        </w:rPr>
        <w:t>mTBI</w:t>
      </w:r>
      <w:proofErr w:type="spellEnd"/>
      <w:r w:rsidRPr="004E7438">
        <w:rPr>
          <w:lang w:val="cs-CZ"/>
        </w:rPr>
        <w:t xml:space="preserve"> díky lepší alokaci zdrojů</w:t>
      </w:r>
      <w:r w:rsidR="00320828">
        <w:rPr>
          <w:lang w:val="cs-CZ"/>
        </w:rPr>
        <w:t xml:space="preserve"> (lidských, finančních).</w:t>
      </w:r>
      <w:r w:rsidRPr="004E7438">
        <w:rPr>
          <w:lang w:val="cs-CZ"/>
        </w:rPr>
        <w:t xml:space="preserve"> Je určen pro použití u pacientů, kteří by jinak podstoupili CT vyšetření na základě počátečního </w:t>
      </w:r>
      <w:r w:rsidR="00320828">
        <w:rPr>
          <w:lang w:val="cs-CZ"/>
        </w:rPr>
        <w:t>vyšetření pacienta</w:t>
      </w:r>
      <w:r w:rsidRPr="004E7438">
        <w:rPr>
          <w:lang w:val="cs-CZ"/>
        </w:rPr>
        <w:t xml:space="preserve">. Konkrétně je </w:t>
      </w:r>
      <w:r w:rsidR="003F3B2E">
        <w:rPr>
          <w:lang w:val="cs-CZ"/>
        </w:rPr>
        <w:t xml:space="preserve">test </w:t>
      </w:r>
      <w:r w:rsidRPr="004E7438">
        <w:rPr>
          <w:lang w:val="cs-CZ"/>
        </w:rPr>
        <w:t xml:space="preserve">indikován u pacientů s podezřením na </w:t>
      </w:r>
      <w:proofErr w:type="spellStart"/>
      <w:r w:rsidRPr="004E7438">
        <w:rPr>
          <w:lang w:val="cs-CZ"/>
        </w:rPr>
        <w:t>mTBI</w:t>
      </w:r>
      <w:proofErr w:type="spellEnd"/>
      <w:r w:rsidRPr="004E7438">
        <w:rPr>
          <w:lang w:val="cs-CZ"/>
        </w:rPr>
        <w:t xml:space="preserve"> (GCS 13-15) ve věku 18 let nebo starších</w:t>
      </w:r>
      <w:r w:rsidR="003F3B2E">
        <w:rPr>
          <w:lang w:val="cs-CZ"/>
        </w:rPr>
        <w:t>, a to</w:t>
      </w:r>
      <w:r w:rsidRPr="004E7438">
        <w:rPr>
          <w:lang w:val="cs-CZ"/>
        </w:rPr>
        <w:t xml:space="preserve"> do 12 hodin od poranění, čímž poskytuje delší terapeutické okno ve srovnání s testem S100B. Vzhledem ke zlepšenému výkonu při kombinování proteinů různého původu</w:t>
      </w:r>
      <w:r w:rsidR="003F3B2E">
        <w:rPr>
          <w:lang w:val="cs-CZ"/>
        </w:rPr>
        <w:t xml:space="preserve">, </w:t>
      </w:r>
      <w:r w:rsidR="00A579A2">
        <w:rPr>
          <w:lang w:val="cs-CZ"/>
        </w:rPr>
        <w:t xml:space="preserve">nacházejících se </w:t>
      </w:r>
      <w:r w:rsidR="003F3B2E">
        <w:rPr>
          <w:lang w:val="cs-CZ"/>
        </w:rPr>
        <w:t xml:space="preserve">v odlišných </w:t>
      </w:r>
      <w:r w:rsidR="00A579A2">
        <w:rPr>
          <w:lang w:val="cs-CZ"/>
        </w:rPr>
        <w:t xml:space="preserve">signálních </w:t>
      </w:r>
      <w:r w:rsidR="003F3B2E">
        <w:rPr>
          <w:lang w:val="cs-CZ"/>
        </w:rPr>
        <w:t>drahách</w:t>
      </w:r>
      <w:r w:rsidR="0070433E" w:rsidRPr="004E7438">
        <w:rPr>
          <w:lang w:val="cs-CZ"/>
        </w:rPr>
        <w:t>,</w:t>
      </w:r>
      <w:r w:rsidRPr="004E7438">
        <w:rPr>
          <w:lang w:val="cs-CZ"/>
        </w:rPr>
        <w:t xml:space="preserve"> poskytuje </w:t>
      </w:r>
      <w:proofErr w:type="spellStart"/>
      <w:r w:rsidRPr="004E7438">
        <w:rPr>
          <w:lang w:val="cs-CZ"/>
        </w:rPr>
        <w:t>Abbott</w:t>
      </w:r>
      <w:proofErr w:type="spellEnd"/>
      <w:r w:rsidRPr="004E7438">
        <w:rPr>
          <w:lang w:val="cs-CZ"/>
        </w:rPr>
        <w:t xml:space="preserve"> test </w:t>
      </w:r>
      <w:proofErr w:type="spellStart"/>
      <w:r w:rsidR="00A579A2">
        <w:rPr>
          <w:lang w:val="cs-CZ"/>
        </w:rPr>
        <w:t>m</w:t>
      </w:r>
      <w:r w:rsidRPr="004E7438">
        <w:rPr>
          <w:lang w:val="cs-CZ"/>
        </w:rPr>
        <w:t>TBI</w:t>
      </w:r>
      <w:proofErr w:type="spellEnd"/>
      <w:r w:rsidRPr="004E7438">
        <w:rPr>
          <w:lang w:val="cs-CZ"/>
        </w:rPr>
        <w:t xml:space="preserve"> </w:t>
      </w:r>
      <w:r w:rsidR="0070433E" w:rsidRPr="004E7438">
        <w:rPr>
          <w:lang w:val="cs-CZ"/>
        </w:rPr>
        <w:t xml:space="preserve">jedinečný nástroj při určování potřeby CT </w:t>
      </w:r>
      <w:r w:rsidRPr="004E7438">
        <w:rPr>
          <w:lang w:val="cs-CZ"/>
        </w:rPr>
        <w:t xml:space="preserve">vyšetření. Se senzitivitou 96,7 % a negativní prediktivní hodnotou 99,4 % </w:t>
      </w:r>
      <w:r w:rsidR="0070433E" w:rsidRPr="004E7438">
        <w:rPr>
          <w:lang w:val="cs-CZ"/>
        </w:rPr>
        <w:t>na</w:t>
      </w:r>
      <w:r w:rsidRPr="004E7438">
        <w:rPr>
          <w:lang w:val="cs-CZ"/>
        </w:rPr>
        <w:t xml:space="preserve"> </w:t>
      </w:r>
      <w:r w:rsidRPr="004E7438">
        <w:rPr>
          <w:lang w:val="cs-CZ"/>
        </w:rPr>
        <w:lastRenderedPageBreak/>
        <w:t xml:space="preserve">přítomnost akutních traumatických intrakraniálních lézí viditelných na CT vyšetření může Abbott test TBI umožnit klinickým lékařům vyloučit potřebu </w:t>
      </w:r>
      <w:r w:rsidR="0070433E" w:rsidRPr="004E7438">
        <w:rPr>
          <w:lang w:val="cs-CZ"/>
        </w:rPr>
        <w:t xml:space="preserve">(kontrolního) </w:t>
      </w:r>
      <w:r w:rsidRPr="004E7438">
        <w:rPr>
          <w:lang w:val="cs-CZ"/>
        </w:rPr>
        <w:t xml:space="preserve">CT, což vede ke snížení </w:t>
      </w:r>
      <w:r w:rsidR="0070433E" w:rsidRPr="004E7438">
        <w:rPr>
          <w:lang w:val="cs-CZ"/>
        </w:rPr>
        <w:t>nad</w:t>
      </w:r>
      <w:r w:rsidRPr="004E7438">
        <w:rPr>
          <w:lang w:val="cs-CZ"/>
        </w:rPr>
        <w:t>bytečn</w:t>
      </w:r>
      <w:r w:rsidR="0070433E" w:rsidRPr="004E7438">
        <w:rPr>
          <w:lang w:val="cs-CZ"/>
        </w:rPr>
        <w:t>ých</w:t>
      </w:r>
      <w:r w:rsidRPr="004E7438">
        <w:rPr>
          <w:lang w:val="cs-CZ"/>
        </w:rPr>
        <w:t xml:space="preserve"> CT vyšetření a </w:t>
      </w:r>
      <w:bookmarkEnd w:id="10"/>
      <w:r w:rsidR="004031A4" w:rsidRPr="004E7438">
        <w:rPr>
          <w:lang w:val="cs-CZ"/>
        </w:rPr>
        <w:t>radiační expozice</w:t>
      </w:r>
      <w:r w:rsidR="004031A4">
        <w:rPr>
          <w:lang w:val="cs-CZ"/>
        </w:rPr>
        <w:t>.</w:t>
      </w:r>
      <w:r w:rsidR="006323E8">
        <w:rPr>
          <w:vertAlign w:val="superscript"/>
          <w:lang w:val="cs-CZ"/>
        </w:rPr>
        <w:t>10-22</w:t>
      </w:r>
      <w:r w:rsidR="007750CC" w:rsidRPr="004E7438">
        <w:rPr>
          <w:vertAlign w:val="superscript"/>
          <w:lang w:val="cs-CZ"/>
        </w:rPr>
        <w:t xml:space="preserve"> </w:t>
      </w:r>
    </w:p>
    <w:p w14:paraId="381EDB54" w14:textId="2842B52F" w:rsidR="00EE3BD1" w:rsidRPr="004E7438" w:rsidRDefault="00EE3BD1" w:rsidP="00A2539F">
      <w:pPr>
        <w:rPr>
          <w:lang w:val="cs-CZ"/>
        </w:rPr>
      </w:pPr>
      <w:r w:rsidRPr="004E7438">
        <w:rPr>
          <w:lang w:val="cs-CZ"/>
        </w:rPr>
        <w:t xml:space="preserve">Klinická užitečnost testu Abbott TBI je spojena s jeho schopností bezpečně vyloučit potřebu CT vyšetření u pacientů s </w:t>
      </w:r>
      <w:proofErr w:type="spellStart"/>
      <w:r w:rsidRPr="004E7438">
        <w:rPr>
          <w:lang w:val="cs-CZ"/>
        </w:rPr>
        <w:t>mTBI</w:t>
      </w:r>
      <w:proofErr w:type="spellEnd"/>
      <w:r w:rsidRPr="004E7438">
        <w:rPr>
          <w:lang w:val="cs-CZ"/>
        </w:rPr>
        <w:t>, včetně pacientů s GCS 13, snížit expozici pacientů záření, zkrátit dobu čekání na pohotovosti a snížit nároky na personál urgentního příjmu a radiologické</w:t>
      </w:r>
      <w:r w:rsidR="0070433E" w:rsidRPr="004E7438">
        <w:rPr>
          <w:lang w:val="cs-CZ"/>
        </w:rPr>
        <w:t>ho</w:t>
      </w:r>
      <w:r w:rsidRPr="004E7438">
        <w:rPr>
          <w:lang w:val="cs-CZ"/>
        </w:rPr>
        <w:t xml:space="preserve"> oddělení.</w:t>
      </w:r>
    </w:p>
    <w:p w14:paraId="5954E78E" w14:textId="78ED875A" w:rsidR="00C57234" w:rsidRPr="004E7438" w:rsidRDefault="00C57234" w:rsidP="00A6663B">
      <w:pPr>
        <w:rPr>
          <w:b/>
          <w:bCs/>
          <w:sz w:val="28"/>
          <w:szCs w:val="28"/>
          <w:lang w:val="cs-CZ"/>
        </w:rPr>
      </w:pPr>
    </w:p>
    <w:p w14:paraId="521D6494" w14:textId="5C312A27" w:rsidR="00002423" w:rsidRPr="004E7438" w:rsidRDefault="0070433E" w:rsidP="00002423">
      <w:pPr>
        <w:pStyle w:val="Nadpis1"/>
        <w:numPr>
          <w:ilvl w:val="0"/>
          <w:numId w:val="15"/>
        </w:numPr>
        <w:rPr>
          <w:b/>
          <w:bCs/>
          <w:lang w:val="cs-CZ"/>
        </w:rPr>
      </w:pPr>
      <w:bookmarkStart w:id="11" w:name="_Toc174350728"/>
      <w:r w:rsidRPr="004E7438">
        <w:rPr>
          <w:b/>
          <w:bCs/>
          <w:lang w:val="cs-CZ"/>
        </w:rPr>
        <w:t>K</w:t>
      </w:r>
      <w:r w:rsidR="00B7351C" w:rsidRPr="004E7438">
        <w:rPr>
          <w:b/>
          <w:bCs/>
          <w:lang w:val="cs-CZ"/>
        </w:rPr>
        <w:t>linick</w:t>
      </w:r>
      <w:r w:rsidRPr="004E7438">
        <w:rPr>
          <w:b/>
          <w:bCs/>
          <w:lang w:val="cs-CZ"/>
        </w:rPr>
        <w:t>ý</w:t>
      </w:r>
      <w:r w:rsidR="00B7351C" w:rsidRPr="004E7438">
        <w:rPr>
          <w:b/>
          <w:bCs/>
          <w:lang w:val="cs-CZ"/>
        </w:rPr>
        <w:t xml:space="preserve"> </w:t>
      </w:r>
      <w:r w:rsidRPr="004E7438">
        <w:rPr>
          <w:b/>
          <w:bCs/>
          <w:lang w:val="cs-CZ"/>
        </w:rPr>
        <w:t>přínos</w:t>
      </w:r>
      <w:bookmarkEnd w:id="11"/>
    </w:p>
    <w:p w14:paraId="4CA86858" w14:textId="76903C7B" w:rsidR="00002423" w:rsidRPr="004E7438" w:rsidRDefault="00002423" w:rsidP="00002423">
      <w:pPr>
        <w:pStyle w:val="Odstavecseseznamem"/>
        <w:ind w:left="0"/>
        <w:rPr>
          <w:rFonts w:eastAsiaTheme="minorEastAsia"/>
          <w:lang w:val="cs-CZ"/>
        </w:rPr>
      </w:pPr>
      <w:r w:rsidRPr="004E7438">
        <w:rPr>
          <w:rFonts w:eastAsiaTheme="minorEastAsia"/>
          <w:lang w:val="cs-CZ"/>
        </w:rPr>
        <w:t>Současné využití CT hlavy k detekci intrakraniálních poranění je náročné na zdroje a může vést k nadměrnému používání CT</w:t>
      </w:r>
      <w:r w:rsidRPr="00C5571A">
        <w:rPr>
          <w:rFonts w:eastAsiaTheme="minorEastAsia"/>
          <w:lang w:val="cs-CZ"/>
        </w:rPr>
        <w:t>.</w:t>
      </w:r>
      <w:r w:rsidRPr="00C5571A">
        <w:rPr>
          <w:rFonts w:eastAsiaTheme="minorEastAsia"/>
          <w:vertAlign w:val="superscript"/>
          <w:lang w:val="cs-CZ"/>
        </w:rPr>
        <w:fldChar w:fldCharType="begin"/>
      </w:r>
      <w:r w:rsidRPr="00C5571A">
        <w:rPr>
          <w:rFonts w:eastAsiaTheme="minorEastAsia"/>
          <w:vertAlign w:val="superscript"/>
          <w:lang w:val="cs-CZ"/>
        </w:rPr>
        <w:instrText xml:space="preserve"> REF _Ref169613618 \r \h  \* MERGEFORMAT </w:instrText>
      </w:r>
      <w:r w:rsidRPr="00C5571A">
        <w:rPr>
          <w:rFonts w:eastAsiaTheme="minorEastAsia"/>
          <w:vertAlign w:val="superscript"/>
          <w:lang w:val="cs-CZ"/>
        </w:rPr>
      </w:r>
      <w:r w:rsidRPr="00C5571A">
        <w:rPr>
          <w:rFonts w:eastAsiaTheme="minorEastAsia"/>
          <w:vertAlign w:val="superscript"/>
          <w:lang w:val="cs-CZ"/>
        </w:rPr>
        <w:fldChar w:fldCharType="separate"/>
      </w:r>
      <w:r w:rsidR="00A255C3">
        <w:rPr>
          <w:rFonts w:eastAsiaTheme="minorEastAsia"/>
          <w:b/>
          <w:bCs/>
          <w:vertAlign w:val="superscript"/>
          <w:lang w:val="cs-CZ"/>
        </w:rPr>
        <w:t>14</w:t>
      </w:r>
      <w:r w:rsidR="005408C0" w:rsidRPr="005408C0">
        <w:rPr>
          <w:rFonts w:eastAsiaTheme="minorEastAsia"/>
          <w:b/>
          <w:bCs/>
          <w:vertAlign w:val="superscript"/>
          <w:lang w:val="cs-CZ"/>
        </w:rPr>
        <w:t>.</w:t>
      </w:r>
      <w:r w:rsidRPr="00C5571A">
        <w:rPr>
          <w:rFonts w:eastAsiaTheme="minorEastAsia"/>
          <w:vertAlign w:val="superscript"/>
          <w:lang w:val="cs-CZ"/>
        </w:rPr>
        <w:fldChar w:fldCharType="end"/>
      </w:r>
      <w:r w:rsidRPr="004E7438">
        <w:rPr>
          <w:rFonts w:eastAsiaTheme="minorEastAsia"/>
          <w:vertAlign w:val="superscript"/>
          <w:lang w:val="cs-CZ"/>
        </w:rPr>
        <w:t xml:space="preserve"> </w:t>
      </w:r>
      <w:r w:rsidRPr="004E7438">
        <w:rPr>
          <w:rFonts w:eastAsiaTheme="minorEastAsia"/>
          <w:lang w:val="cs-CZ"/>
        </w:rPr>
        <w:t xml:space="preserve">U pacientů s podezřením na </w:t>
      </w:r>
      <w:proofErr w:type="spellStart"/>
      <w:r w:rsidRPr="004E7438">
        <w:rPr>
          <w:rFonts w:eastAsiaTheme="minorEastAsia"/>
          <w:lang w:val="cs-CZ"/>
        </w:rPr>
        <w:t>mTBI</w:t>
      </w:r>
      <w:proofErr w:type="spellEnd"/>
      <w:r w:rsidRPr="004E7438">
        <w:rPr>
          <w:rFonts w:eastAsiaTheme="minorEastAsia"/>
          <w:lang w:val="cs-CZ"/>
        </w:rPr>
        <w:t xml:space="preserve"> je frekvence pozitivních CT nálezů obecně &lt;10 %, což ukazuje na potřebu citlivějších a specifičtějších </w:t>
      </w:r>
      <w:r w:rsidR="00242B3B">
        <w:rPr>
          <w:rFonts w:eastAsiaTheme="minorEastAsia"/>
          <w:lang w:val="cs-CZ"/>
        </w:rPr>
        <w:t>metod pro i</w:t>
      </w:r>
      <w:r w:rsidRPr="004E7438">
        <w:rPr>
          <w:rFonts w:eastAsiaTheme="minorEastAsia"/>
          <w:lang w:val="cs-CZ"/>
        </w:rPr>
        <w:t>ndikac</w:t>
      </w:r>
      <w:r w:rsidR="00242B3B">
        <w:rPr>
          <w:rFonts w:eastAsiaTheme="minorEastAsia"/>
          <w:lang w:val="cs-CZ"/>
        </w:rPr>
        <w:t>i</w:t>
      </w:r>
      <w:r w:rsidRPr="004E7438">
        <w:rPr>
          <w:rFonts w:eastAsiaTheme="minorEastAsia"/>
          <w:lang w:val="cs-CZ"/>
        </w:rPr>
        <w:t xml:space="preserve">. Tato nízká frekvence je přičítána </w:t>
      </w:r>
      <w:r w:rsidR="0070433E" w:rsidRPr="004E7438">
        <w:rPr>
          <w:rFonts w:eastAsiaTheme="minorEastAsia"/>
          <w:lang w:val="cs-CZ"/>
        </w:rPr>
        <w:t>významnému</w:t>
      </w:r>
      <w:r w:rsidRPr="004E7438">
        <w:rPr>
          <w:rFonts w:eastAsiaTheme="minorEastAsia"/>
          <w:lang w:val="cs-CZ"/>
        </w:rPr>
        <w:t xml:space="preserve"> spoléhání se na subjektivní symptomy hlášené pacientem, což zdůrazňuje potřebu účelnějších a objektivnějších měření.</w:t>
      </w:r>
      <w:r w:rsidR="00FF3B7F">
        <w:rPr>
          <w:rFonts w:eastAsiaTheme="minorEastAsia"/>
          <w:vertAlign w:val="superscript"/>
          <w:lang w:val="cs-CZ"/>
        </w:rPr>
        <w:t>19</w:t>
      </w:r>
      <w:r w:rsidRPr="004E7438">
        <w:rPr>
          <w:rFonts w:eastAsiaTheme="minorEastAsia"/>
          <w:vertAlign w:val="superscript"/>
          <w:lang w:val="cs-CZ"/>
        </w:rPr>
        <w:t xml:space="preserve"> </w:t>
      </w:r>
    </w:p>
    <w:p w14:paraId="73B7C4FE" w14:textId="77777777" w:rsidR="00002423" w:rsidRPr="004E7438" w:rsidRDefault="00002423" w:rsidP="00002423">
      <w:pPr>
        <w:pStyle w:val="Odstavecseseznamem"/>
        <w:ind w:left="0"/>
        <w:rPr>
          <w:rFonts w:eastAsiaTheme="minorEastAsia"/>
          <w:sz w:val="16"/>
          <w:szCs w:val="16"/>
          <w:lang w:val="cs-CZ"/>
        </w:rPr>
      </w:pPr>
    </w:p>
    <w:p w14:paraId="5276602C" w14:textId="0755945B" w:rsidR="00002423" w:rsidRPr="004E7438" w:rsidRDefault="00002423" w:rsidP="00FA69A8">
      <w:pPr>
        <w:pStyle w:val="Odstavecseseznamem"/>
        <w:ind w:left="0"/>
        <w:rPr>
          <w:lang w:val="cs-CZ"/>
        </w:rPr>
      </w:pPr>
      <w:r w:rsidRPr="004E7438">
        <w:rPr>
          <w:rFonts w:eastAsiaTheme="minorEastAsia"/>
          <w:lang w:val="cs-CZ"/>
        </w:rPr>
        <w:t xml:space="preserve">Plazmatické </w:t>
      </w:r>
      <w:r w:rsidRPr="00242B3B">
        <w:rPr>
          <w:rFonts w:eastAsiaTheme="minorEastAsia"/>
          <w:iCs/>
          <w:lang w:val="cs-CZ"/>
        </w:rPr>
        <w:t>koncentrace</w:t>
      </w:r>
      <w:r w:rsidRPr="004E7438">
        <w:rPr>
          <w:rFonts w:eastAsiaTheme="minorEastAsia"/>
          <w:i/>
          <w:lang w:val="cs-CZ"/>
        </w:rPr>
        <w:t xml:space="preserve"> GFAP</w:t>
      </w:r>
      <w:r w:rsidRPr="004E7438">
        <w:rPr>
          <w:rFonts w:eastAsiaTheme="minorEastAsia"/>
          <w:lang w:val="cs-CZ"/>
        </w:rPr>
        <w:t xml:space="preserve"> a </w:t>
      </w:r>
      <w:r w:rsidRPr="004E7438">
        <w:rPr>
          <w:rFonts w:eastAsiaTheme="minorEastAsia"/>
          <w:i/>
          <w:lang w:val="cs-CZ"/>
        </w:rPr>
        <w:t>UCH-L1</w:t>
      </w:r>
      <w:r w:rsidRPr="004E7438">
        <w:rPr>
          <w:rFonts w:eastAsiaTheme="minorEastAsia"/>
          <w:lang w:val="cs-CZ"/>
        </w:rPr>
        <w:t xml:space="preserve"> lze kvantifikovat za 15 minut, což poskytuje výsledky v reálném čase, </w:t>
      </w:r>
      <w:r w:rsidR="0070433E" w:rsidRPr="004E7438">
        <w:rPr>
          <w:rFonts w:eastAsiaTheme="minorEastAsia"/>
          <w:lang w:val="cs-CZ"/>
        </w:rPr>
        <w:t>potřebné pro</w:t>
      </w:r>
      <w:r w:rsidRPr="004E7438">
        <w:rPr>
          <w:rFonts w:eastAsiaTheme="minorEastAsia"/>
          <w:lang w:val="cs-CZ"/>
        </w:rPr>
        <w:t xml:space="preserve"> klinic</w:t>
      </w:r>
      <w:r w:rsidR="0070433E" w:rsidRPr="004E7438">
        <w:rPr>
          <w:rFonts w:eastAsiaTheme="minorEastAsia"/>
          <w:lang w:val="cs-CZ"/>
        </w:rPr>
        <w:t>ká</w:t>
      </w:r>
      <w:r w:rsidRPr="004E7438">
        <w:rPr>
          <w:rFonts w:eastAsiaTheme="minorEastAsia"/>
          <w:lang w:val="cs-CZ"/>
        </w:rPr>
        <w:t xml:space="preserve"> rozhodování a </w:t>
      </w:r>
      <w:r w:rsidR="0070433E" w:rsidRPr="004E7438">
        <w:rPr>
          <w:rFonts w:eastAsiaTheme="minorEastAsia"/>
          <w:lang w:val="cs-CZ"/>
        </w:rPr>
        <w:t>poskytuje</w:t>
      </w:r>
      <w:r w:rsidRPr="004E7438">
        <w:rPr>
          <w:rFonts w:eastAsiaTheme="minorEastAsia"/>
          <w:lang w:val="cs-CZ"/>
        </w:rPr>
        <w:t xml:space="preserve"> </w:t>
      </w:r>
      <w:r w:rsidR="0070433E" w:rsidRPr="004E7438">
        <w:rPr>
          <w:rFonts w:eastAsiaTheme="minorEastAsia"/>
          <w:lang w:val="cs-CZ"/>
        </w:rPr>
        <w:t xml:space="preserve">tak </w:t>
      </w:r>
      <w:r w:rsidRPr="004E7438">
        <w:rPr>
          <w:rFonts w:eastAsiaTheme="minorEastAsia"/>
          <w:lang w:val="cs-CZ"/>
        </w:rPr>
        <w:t>doplňkové diagnostické testování.</w:t>
      </w:r>
      <w:r w:rsidR="002565C4" w:rsidRPr="004E7438">
        <w:rPr>
          <w:rFonts w:eastAsiaTheme="minorEastAsia"/>
          <w:vertAlign w:val="superscript"/>
          <w:lang w:val="cs-CZ"/>
        </w:rPr>
        <w:t>20</w:t>
      </w:r>
      <w:r w:rsidRPr="004E7438">
        <w:rPr>
          <w:rFonts w:eastAsiaTheme="minorEastAsia"/>
          <w:lang w:val="cs-CZ"/>
        </w:rPr>
        <w:t xml:space="preserve"> Zavedení testu Abbott TBI povede k </w:t>
      </w:r>
      <w:r w:rsidR="0070433E" w:rsidRPr="004E7438">
        <w:rPr>
          <w:rFonts w:eastAsiaTheme="minorEastAsia"/>
          <w:lang w:val="cs-CZ"/>
        </w:rPr>
        <w:t>jasnějším</w:t>
      </w:r>
      <w:r w:rsidRPr="004E7438">
        <w:rPr>
          <w:rFonts w:eastAsiaTheme="minorEastAsia"/>
          <w:lang w:val="cs-CZ"/>
        </w:rPr>
        <w:t xml:space="preserve"> pravidlům klinického rozhodování a </w:t>
      </w:r>
      <w:r w:rsidR="00242B3B">
        <w:rPr>
          <w:rFonts w:eastAsiaTheme="minorEastAsia"/>
          <w:lang w:val="cs-CZ"/>
        </w:rPr>
        <w:t xml:space="preserve">přesnějším </w:t>
      </w:r>
      <w:r w:rsidRPr="004E7438">
        <w:rPr>
          <w:rFonts w:eastAsiaTheme="minorEastAsia"/>
          <w:lang w:val="cs-CZ"/>
        </w:rPr>
        <w:t xml:space="preserve">doporučením pro </w:t>
      </w:r>
      <w:r w:rsidR="00242B3B">
        <w:rPr>
          <w:rFonts w:eastAsiaTheme="minorEastAsia"/>
          <w:lang w:val="cs-CZ"/>
        </w:rPr>
        <w:t xml:space="preserve">použití následné </w:t>
      </w:r>
      <w:r w:rsidRPr="004E7438">
        <w:rPr>
          <w:rFonts w:eastAsiaTheme="minorEastAsia"/>
          <w:lang w:val="cs-CZ"/>
        </w:rPr>
        <w:t>zobrazovací metody</w:t>
      </w:r>
      <w:r w:rsidR="00242B3B">
        <w:rPr>
          <w:rFonts w:eastAsiaTheme="minorEastAsia"/>
          <w:lang w:val="cs-CZ"/>
        </w:rPr>
        <w:t>. To</w:t>
      </w:r>
      <w:r w:rsidRPr="004E7438">
        <w:rPr>
          <w:rFonts w:eastAsiaTheme="minorEastAsia"/>
          <w:lang w:val="cs-CZ"/>
        </w:rPr>
        <w:t xml:space="preserve"> povede ke snížení počtu CT vyšetření, protože CT vyšetření budou vyžadovat pouze pacienti s pozitivním výsledkem testu. </w:t>
      </w:r>
      <w:r w:rsidRPr="004E7438">
        <w:rPr>
          <w:lang w:val="cs-CZ"/>
        </w:rPr>
        <w:t>K dnešnímu dni bylo publikováno třináct recenzovaných studií hodnotících klinick</w:t>
      </w:r>
      <w:r w:rsidR="0070433E" w:rsidRPr="004E7438">
        <w:rPr>
          <w:lang w:val="cs-CZ"/>
        </w:rPr>
        <w:t>ý přínos</w:t>
      </w:r>
      <w:r w:rsidRPr="004E7438">
        <w:rPr>
          <w:lang w:val="cs-CZ"/>
        </w:rPr>
        <w:t xml:space="preserve"> biomarkerů </w:t>
      </w:r>
      <w:r w:rsidRPr="004E7438">
        <w:rPr>
          <w:i/>
          <w:lang w:val="cs-CZ"/>
        </w:rPr>
        <w:t>GFAP</w:t>
      </w:r>
      <w:r w:rsidRPr="004E7438">
        <w:rPr>
          <w:lang w:val="cs-CZ"/>
        </w:rPr>
        <w:t xml:space="preserve"> a </w:t>
      </w:r>
      <w:r w:rsidRPr="004E7438">
        <w:rPr>
          <w:i/>
          <w:lang w:val="cs-CZ"/>
        </w:rPr>
        <w:t>UCH-L1</w:t>
      </w:r>
      <w:r w:rsidRPr="004E7438">
        <w:rPr>
          <w:lang w:val="cs-CZ"/>
        </w:rPr>
        <w:t xml:space="preserve"> obsažených v prototypu testu Abbott TBI, včetně čtyř studií provedených na prototypu nebo samotném testu Abbott TBI. Nejdůležitější studie jsou popsány níže.</w:t>
      </w:r>
    </w:p>
    <w:p w14:paraId="65F926DA" w14:textId="77777777" w:rsidR="00FA69A8" w:rsidRPr="004E7438" w:rsidRDefault="00FA69A8" w:rsidP="00A2539F">
      <w:pPr>
        <w:pStyle w:val="Odstavecseseznamem"/>
        <w:ind w:left="0"/>
        <w:rPr>
          <w:lang w:val="cs-CZ"/>
        </w:rPr>
      </w:pPr>
    </w:p>
    <w:p w14:paraId="225459EB" w14:textId="101B2E82" w:rsidR="00002423" w:rsidRPr="004E7438" w:rsidRDefault="00002423" w:rsidP="00002423">
      <w:pPr>
        <w:pStyle w:val="Odstavecseseznamem"/>
        <w:ind w:left="0"/>
        <w:rPr>
          <w:rFonts w:eastAsiaTheme="minorEastAsia"/>
          <w:lang w:val="cs-CZ"/>
        </w:rPr>
      </w:pPr>
      <w:proofErr w:type="spellStart"/>
      <w:r w:rsidRPr="004E7438">
        <w:rPr>
          <w:lang w:val="cs-CZ"/>
        </w:rPr>
        <w:t>Welch</w:t>
      </w:r>
      <w:proofErr w:type="spellEnd"/>
      <w:r w:rsidRPr="004E7438">
        <w:rPr>
          <w:lang w:val="cs-CZ"/>
        </w:rPr>
        <w:t xml:space="preserve"> </w:t>
      </w:r>
      <w:r w:rsidRPr="004E7438">
        <w:rPr>
          <w:i/>
          <w:lang w:val="cs-CZ"/>
        </w:rPr>
        <w:t>et al. (2016)</w:t>
      </w:r>
      <w:r w:rsidRPr="004E7438">
        <w:rPr>
          <w:lang w:val="cs-CZ"/>
        </w:rPr>
        <w:t xml:space="preserve"> pozorov</w:t>
      </w:r>
      <w:r w:rsidR="0070433E" w:rsidRPr="004E7438">
        <w:rPr>
          <w:lang w:val="cs-CZ"/>
        </w:rPr>
        <w:t>al</w:t>
      </w:r>
      <w:r w:rsidRPr="004E7438">
        <w:rPr>
          <w:lang w:val="cs-CZ"/>
        </w:rPr>
        <w:t xml:space="preserve"> 251 pacientů s mírným až středně závažným TBI (98 % mírné, definované jako GCS 13-15), kteří se dostavili na pohotovost do 4 hodin po poranění, s odebranou krví pro testování do 6 hodin od poranění. S využitím ZISZ™ </w:t>
      </w:r>
      <w:proofErr w:type="spellStart"/>
      <w:r w:rsidRPr="004E7438">
        <w:rPr>
          <w:lang w:val="cs-CZ"/>
        </w:rPr>
        <w:t>Banyan</w:t>
      </w:r>
      <w:proofErr w:type="spellEnd"/>
      <w:r w:rsidRPr="004E7438">
        <w:rPr>
          <w:lang w:val="cs-CZ"/>
        </w:rPr>
        <w:t xml:space="preserve"> výsledky prokázaly, že </w:t>
      </w:r>
      <w:r w:rsidRPr="004E7438">
        <w:rPr>
          <w:i/>
          <w:lang w:val="cs-CZ"/>
        </w:rPr>
        <w:t>UCH-L1</w:t>
      </w:r>
      <w:r w:rsidRPr="004E7438">
        <w:rPr>
          <w:lang w:val="cs-CZ"/>
        </w:rPr>
        <w:t xml:space="preserve"> byl nejlépe schopen rozlišit mezi subjekty s normálními a abnormálními CT. Navíc </w:t>
      </w:r>
      <w:r w:rsidRPr="004E7438">
        <w:rPr>
          <w:i/>
          <w:iCs/>
          <w:lang w:val="cs-CZ"/>
        </w:rPr>
        <w:t>UCH-</w:t>
      </w:r>
      <w:r w:rsidRPr="004E7438">
        <w:rPr>
          <w:i/>
          <w:lang w:val="cs-CZ"/>
        </w:rPr>
        <w:t>L1</w:t>
      </w:r>
      <w:r w:rsidRPr="004E7438">
        <w:rPr>
          <w:lang w:val="cs-CZ"/>
        </w:rPr>
        <w:t xml:space="preserve"> byl 100% senzitivní a 39% specifický při hraniční hodnotě ≥40 </w:t>
      </w:r>
      <w:proofErr w:type="spellStart"/>
      <w:r w:rsidRPr="004E7438">
        <w:rPr>
          <w:lang w:val="cs-CZ"/>
        </w:rPr>
        <w:t>pg</w:t>
      </w:r>
      <w:proofErr w:type="spellEnd"/>
      <w:r w:rsidRPr="004E7438">
        <w:rPr>
          <w:lang w:val="cs-CZ"/>
        </w:rPr>
        <w:t xml:space="preserve">/ml, což se promítá do potenciálního snížení CT skenů. Do 6 hodin od poranění </w:t>
      </w:r>
      <w:r w:rsidR="0070433E" w:rsidRPr="004E7438">
        <w:rPr>
          <w:lang w:val="cs-CZ"/>
        </w:rPr>
        <w:t>koncentrace</w:t>
      </w:r>
      <w:r w:rsidR="0070433E" w:rsidRPr="004E7438">
        <w:rPr>
          <w:i/>
          <w:lang w:val="cs-CZ"/>
        </w:rPr>
        <w:t xml:space="preserve"> </w:t>
      </w:r>
      <w:r w:rsidRPr="004E7438">
        <w:rPr>
          <w:i/>
          <w:lang w:val="cs-CZ"/>
        </w:rPr>
        <w:t>UCH-L1</w:t>
      </w:r>
      <w:r w:rsidRPr="004E7438">
        <w:rPr>
          <w:lang w:val="cs-CZ"/>
        </w:rPr>
        <w:t xml:space="preserve"> nad 40 </w:t>
      </w:r>
      <w:proofErr w:type="spellStart"/>
      <w:r w:rsidRPr="004E7438">
        <w:rPr>
          <w:lang w:val="cs-CZ"/>
        </w:rPr>
        <w:t>pg</w:t>
      </w:r>
      <w:proofErr w:type="spellEnd"/>
      <w:r w:rsidRPr="004E7438">
        <w:rPr>
          <w:lang w:val="cs-CZ"/>
        </w:rPr>
        <w:t xml:space="preserve">/ml byla detekována u všech 36 pacientů s akutní intrakraniální lézí stanovenou referenčním CT vyšetřením. Stanovení sérových hladin </w:t>
      </w:r>
      <w:r w:rsidRPr="004E7438">
        <w:rPr>
          <w:i/>
          <w:lang w:val="cs-CZ"/>
        </w:rPr>
        <w:t>GFAP</w:t>
      </w:r>
      <w:r w:rsidRPr="004E7438">
        <w:rPr>
          <w:lang w:val="cs-CZ"/>
        </w:rPr>
        <w:t xml:space="preserve"> a </w:t>
      </w:r>
      <w:r w:rsidRPr="00DB7A11">
        <w:rPr>
          <w:i/>
          <w:iCs/>
          <w:lang w:val="cs-CZ"/>
        </w:rPr>
        <w:t>UCH-</w:t>
      </w:r>
      <w:r w:rsidRPr="004E7438">
        <w:rPr>
          <w:i/>
          <w:lang w:val="cs-CZ"/>
        </w:rPr>
        <w:t>L1</w:t>
      </w:r>
      <w:r w:rsidRPr="004E7438">
        <w:rPr>
          <w:lang w:val="cs-CZ"/>
        </w:rPr>
        <w:t xml:space="preserve"> může s vysokou senzitivitou předpovědět akutní intrakraniální léze detekované CT při zachování specificity, což vede k potenciálnímu snížení CT vyšetření. </w:t>
      </w:r>
    </w:p>
    <w:p w14:paraId="190A4F5C" w14:textId="77777777" w:rsidR="00002423" w:rsidRPr="004E7438" w:rsidRDefault="00002423" w:rsidP="00002423">
      <w:pPr>
        <w:pStyle w:val="Odstavecseseznamem"/>
        <w:ind w:left="0"/>
        <w:rPr>
          <w:rFonts w:eastAsiaTheme="minorEastAsia"/>
          <w:lang w:val="cs-CZ"/>
        </w:rPr>
      </w:pPr>
    </w:p>
    <w:p w14:paraId="3B933EBC" w14:textId="6453CA68" w:rsidR="00002423" w:rsidRPr="004E7438" w:rsidRDefault="00002423" w:rsidP="00002423">
      <w:pPr>
        <w:pStyle w:val="Odstavecseseznamem"/>
        <w:ind w:left="0"/>
        <w:rPr>
          <w:rFonts w:eastAsiaTheme="minorEastAsia"/>
          <w:lang w:val="cs-CZ"/>
        </w:rPr>
      </w:pPr>
      <w:proofErr w:type="spellStart"/>
      <w:r w:rsidRPr="004E7438">
        <w:rPr>
          <w:rFonts w:eastAsiaTheme="minorEastAsia"/>
          <w:lang w:val="cs-CZ"/>
        </w:rPr>
        <w:t>Bazar</w:t>
      </w:r>
      <w:r w:rsidR="0070433E" w:rsidRPr="004E7438">
        <w:rPr>
          <w:rFonts w:eastAsiaTheme="minorEastAsia"/>
          <w:lang w:val="cs-CZ"/>
        </w:rPr>
        <w:t>ian</w:t>
      </w:r>
      <w:proofErr w:type="spellEnd"/>
      <w:r w:rsidRPr="004E7438">
        <w:rPr>
          <w:rFonts w:eastAsiaTheme="minorEastAsia"/>
          <w:lang w:val="cs-CZ"/>
        </w:rPr>
        <w:t xml:space="preserve"> </w:t>
      </w:r>
      <w:r w:rsidRPr="004E7438">
        <w:rPr>
          <w:rFonts w:eastAsiaTheme="minorEastAsia"/>
          <w:i/>
          <w:lang w:val="cs-CZ"/>
        </w:rPr>
        <w:t>et al. (2018)</w:t>
      </w:r>
      <w:r w:rsidRPr="004E7438">
        <w:rPr>
          <w:rFonts w:eastAsiaTheme="minorEastAsia"/>
          <w:lang w:val="cs-CZ"/>
        </w:rPr>
        <w:t xml:space="preserve"> hodnotil 1 959 pacientů s mírným až středně závažným TBI (98% mírný, definovaný jako GCS 14-15) pacientů za účelem validace </w:t>
      </w:r>
      <w:proofErr w:type="spellStart"/>
      <w:r w:rsidRPr="004E7438">
        <w:rPr>
          <w:rFonts w:eastAsiaTheme="minorEastAsia"/>
          <w:lang w:val="cs-CZ"/>
        </w:rPr>
        <w:t>Banyan</w:t>
      </w:r>
      <w:proofErr w:type="spellEnd"/>
      <w:r w:rsidRPr="004E7438">
        <w:rPr>
          <w:rFonts w:eastAsiaTheme="minorEastAsia"/>
          <w:lang w:val="cs-CZ"/>
        </w:rPr>
        <w:t xml:space="preserve"> BTI™, testu, který kombinuje analýzu </w:t>
      </w:r>
      <w:r w:rsidRPr="004E7438">
        <w:rPr>
          <w:rFonts w:eastAsiaTheme="minorEastAsia"/>
          <w:i/>
          <w:lang w:val="cs-CZ"/>
        </w:rPr>
        <w:t>UCH-L1</w:t>
      </w:r>
      <w:r w:rsidRPr="004E7438">
        <w:rPr>
          <w:rFonts w:eastAsiaTheme="minorEastAsia"/>
          <w:lang w:val="cs-CZ"/>
        </w:rPr>
        <w:t xml:space="preserve"> a </w:t>
      </w:r>
      <w:r w:rsidRPr="004E7438">
        <w:rPr>
          <w:rFonts w:eastAsiaTheme="minorEastAsia"/>
          <w:i/>
          <w:lang w:val="cs-CZ"/>
        </w:rPr>
        <w:t>GFAP</w:t>
      </w:r>
      <w:r w:rsidRPr="004E7438">
        <w:rPr>
          <w:rFonts w:eastAsiaTheme="minorEastAsia"/>
          <w:lang w:val="cs-CZ"/>
        </w:rPr>
        <w:t xml:space="preserve"> při předem stanovených hraničních hodnotách pro predikci traumatických nitrolebních poranění na CT vyšetření hlavy do 12 hodin od poranění. Výzkumníci zjistili, že mezi všemi hodnocenými pacienty, </w:t>
      </w:r>
      <w:r w:rsidRPr="004E7438">
        <w:rPr>
          <w:rFonts w:eastAsiaTheme="minorEastAsia"/>
          <w:i/>
          <w:lang w:val="cs-CZ"/>
        </w:rPr>
        <w:t>GFAP</w:t>
      </w:r>
      <w:r w:rsidRPr="004E7438">
        <w:rPr>
          <w:rFonts w:eastAsiaTheme="minorEastAsia"/>
          <w:lang w:val="cs-CZ"/>
        </w:rPr>
        <w:t xml:space="preserve"> a </w:t>
      </w:r>
      <w:r w:rsidRPr="004E7438">
        <w:rPr>
          <w:rFonts w:eastAsiaTheme="minorEastAsia"/>
          <w:i/>
          <w:iCs/>
          <w:lang w:val="cs-CZ"/>
        </w:rPr>
        <w:t>UCH-</w:t>
      </w:r>
      <w:r w:rsidRPr="004E7438">
        <w:rPr>
          <w:rFonts w:eastAsiaTheme="minorEastAsia"/>
          <w:i/>
          <w:lang w:val="cs-CZ"/>
        </w:rPr>
        <w:t>L1</w:t>
      </w:r>
      <w:r w:rsidRPr="004E7438">
        <w:rPr>
          <w:rFonts w:eastAsiaTheme="minorEastAsia"/>
          <w:lang w:val="cs-CZ"/>
        </w:rPr>
        <w:t xml:space="preserve"> koncentrace byly signifikantně vyšší u těch, kteří byli CT pozitivní, ve srovnání s těmi, kteří byli CT negativní. Pozitivní výsledek testu byl definován</w:t>
      </w:r>
      <w:r w:rsidR="0070433E" w:rsidRPr="004E7438">
        <w:rPr>
          <w:rFonts w:eastAsiaTheme="minorEastAsia"/>
          <w:lang w:val="cs-CZ"/>
        </w:rPr>
        <w:t>, kd</w:t>
      </w:r>
      <w:r w:rsidR="00DB7A11">
        <w:rPr>
          <w:rFonts w:eastAsiaTheme="minorEastAsia"/>
          <w:lang w:val="cs-CZ"/>
        </w:rPr>
        <w:t>y</w:t>
      </w:r>
      <w:r w:rsidR="0070433E" w:rsidRPr="004E7438">
        <w:rPr>
          <w:rFonts w:eastAsiaTheme="minorEastAsia"/>
          <w:lang w:val="cs-CZ"/>
        </w:rPr>
        <w:t>ž hodnota</w:t>
      </w:r>
      <w:r w:rsidRPr="004E7438">
        <w:rPr>
          <w:rFonts w:eastAsiaTheme="minorEastAsia"/>
          <w:lang w:val="cs-CZ"/>
        </w:rPr>
        <w:t xml:space="preserve"> jed</w:t>
      </w:r>
      <w:r w:rsidR="0070433E" w:rsidRPr="004E7438">
        <w:rPr>
          <w:rFonts w:eastAsiaTheme="minorEastAsia"/>
          <w:lang w:val="cs-CZ"/>
        </w:rPr>
        <w:t>noho</w:t>
      </w:r>
      <w:r w:rsidRPr="004E7438">
        <w:rPr>
          <w:rFonts w:eastAsiaTheme="minorEastAsia"/>
          <w:lang w:val="cs-CZ"/>
        </w:rPr>
        <w:t xml:space="preserve"> nebo ob</w:t>
      </w:r>
      <w:r w:rsidR="0070433E" w:rsidRPr="004E7438">
        <w:rPr>
          <w:rFonts w:eastAsiaTheme="minorEastAsia"/>
          <w:lang w:val="cs-CZ"/>
        </w:rPr>
        <w:t xml:space="preserve">ou </w:t>
      </w:r>
      <w:r w:rsidRPr="004E7438">
        <w:rPr>
          <w:rFonts w:eastAsiaTheme="minorEastAsia"/>
          <w:lang w:val="cs-CZ"/>
        </w:rPr>
        <w:t>biomarker</w:t>
      </w:r>
      <w:r w:rsidR="0070433E" w:rsidRPr="004E7438">
        <w:rPr>
          <w:rFonts w:eastAsiaTheme="minorEastAsia"/>
          <w:lang w:val="cs-CZ"/>
        </w:rPr>
        <w:t>ů</w:t>
      </w:r>
      <w:r w:rsidRPr="004E7438">
        <w:rPr>
          <w:rFonts w:eastAsiaTheme="minorEastAsia"/>
          <w:lang w:val="cs-CZ"/>
        </w:rPr>
        <w:t xml:space="preserve"> </w:t>
      </w:r>
      <w:r w:rsidR="00DB7A11">
        <w:rPr>
          <w:rFonts w:eastAsiaTheme="minorEastAsia"/>
          <w:lang w:val="cs-CZ"/>
        </w:rPr>
        <w:t xml:space="preserve">stoupla </w:t>
      </w:r>
      <w:r w:rsidRPr="004E7438">
        <w:rPr>
          <w:rFonts w:eastAsiaTheme="minorEastAsia"/>
          <w:lang w:val="cs-CZ"/>
        </w:rPr>
        <w:t xml:space="preserve">nad předem definovanou mezní hodnotu, zatímco negativní výsledek testu byl </w:t>
      </w:r>
      <w:proofErr w:type="gramStart"/>
      <w:r w:rsidRPr="004E7438">
        <w:rPr>
          <w:rFonts w:eastAsiaTheme="minorEastAsia"/>
          <w:lang w:val="cs-CZ"/>
        </w:rPr>
        <w:t>definován</w:t>
      </w:r>
      <w:proofErr w:type="gramEnd"/>
      <w:r w:rsidRPr="004E7438">
        <w:rPr>
          <w:rFonts w:eastAsiaTheme="minorEastAsia"/>
          <w:lang w:val="cs-CZ"/>
        </w:rPr>
        <w:t xml:space="preserve"> </w:t>
      </w:r>
      <w:r w:rsidR="0070433E" w:rsidRPr="004E7438">
        <w:rPr>
          <w:rFonts w:eastAsiaTheme="minorEastAsia"/>
          <w:lang w:val="cs-CZ"/>
        </w:rPr>
        <w:t>když</w:t>
      </w:r>
      <w:r w:rsidRPr="004E7438">
        <w:rPr>
          <w:rFonts w:eastAsiaTheme="minorEastAsia"/>
          <w:lang w:val="cs-CZ"/>
        </w:rPr>
        <w:t xml:space="preserve"> </w:t>
      </w:r>
      <w:r w:rsidR="0070433E" w:rsidRPr="004E7438">
        <w:rPr>
          <w:rFonts w:eastAsiaTheme="minorEastAsia"/>
          <w:lang w:val="cs-CZ"/>
        </w:rPr>
        <w:t xml:space="preserve">hodnoty </w:t>
      </w:r>
      <w:r w:rsidRPr="004E7438">
        <w:rPr>
          <w:rFonts w:eastAsiaTheme="minorEastAsia"/>
          <w:lang w:val="cs-CZ"/>
        </w:rPr>
        <w:t>o</w:t>
      </w:r>
      <w:r w:rsidR="00DB7A11">
        <w:rPr>
          <w:rFonts w:eastAsiaTheme="minorEastAsia"/>
          <w:lang w:val="cs-CZ"/>
        </w:rPr>
        <w:t>b</w:t>
      </w:r>
      <w:r w:rsidR="0070433E" w:rsidRPr="004E7438">
        <w:rPr>
          <w:rFonts w:eastAsiaTheme="minorEastAsia"/>
          <w:lang w:val="cs-CZ"/>
        </w:rPr>
        <w:t>ou</w:t>
      </w:r>
      <w:r w:rsidRPr="004E7438">
        <w:rPr>
          <w:rFonts w:eastAsiaTheme="minorEastAsia"/>
          <w:lang w:val="cs-CZ"/>
        </w:rPr>
        <w:t xml:space="preserve"> </w:t>
      </w:r>
      <w:r w:rsidR="0070433E" w:rsidRPr="004E7438">
        <w:rPr>
          <w:rFonts w:eastAsiaTheme="minorEastAsia"/>
          <w:lang w:val="cs-CZ"/>
        </w:rPr>
        <w:t>markerů byly</w:t>
      </w:r>
      <w:r w:rsidRPr="004E7438">
        <w:rPr>
          <w:rFonts w:eastAsiaTheme="minorEastAsia"/>
          <w:lang w:val="cs-CZ"/>
        </w:rPr>
        <w:t xml:space="preserve"> pod předem stanovenou mezní hodnotu. Výzkumníci zjistili, že 35 % pacientů s GCS 14-15 mělo negativní výsledek testu, což představuje podíl pacientů, </w:t>
      </w:r>
      <w:r w:rsidR="0070433E" w:rsidRPr="004E7438">
        <w:rPr>
          <w:rFonts w:eastAsiaTheme="minorEastAsia"/>
          <w:lang w:val="cs-CZ"/>
        </w:rPr>
        <w:t>u</w:t>
      </w:r>
      <w:r w:rsidRPr="004E7438">
        <w:rPr>
          <w:rFonts w:eastAsiaTheme="minorEastAsia"/>
          <w:lang w:val="cs-CZ"/>
        </w:rPr>
        <w:t xml:space="preserve"> kterých se </w:t>
      </w:r>
      <w:r w:rsidRPr="004E7438">
        <w:rPr>
          <w:rFonts w:eastAsiaTheme="minorEastAsia"/>
          <w:lang w:val="cs-CZ"/>
        </w:rPr>
        <w:lastRenderedPageBreak/>
        <w:t xml:space="preserve">předpokládalo, že by se </w:t>
      </w:r>
      <w:r w:rsidR="0070433E" w:rsidRPr="004E7438">
        <w:rPr>
          <w:rFonts w:eastAsiaTheme="minorEastAsia"/>
          <w:lang w:val="cs-CZ"/>
        </w:rPr>
        <w:t>CT hlavy</w:t>
      </w:r>
      <w:r w:rsidRPr="004E7438">
        <w:rPr>
          <w:rFonts w:eastAsiaTheme="minorEastAsia"/>
          <w:lang w:val="cs-CZ"/>
        </w:rPr>
        <w:t xml:space="preserve"> mohl</w:t>
      </w:r>
      <w:r w:rsidR="00DB7A11">
        <w:rPr>
          <w:rFonts w:eastAsiaTheme="minorEastAsia"/>
          <w:lang w:val="cs-CZ"/>
        </w:rPr>
        <w:t>i</w:t>
      </w:r>
      <w:r w:rsidRPr="004E7438">
        <w:rPr>
          <w:rFonts w:eastAsiaTheme="minorEastAsia"/>
          <w:lang w:val="cs-CZ"/>
        </w:rPr>
        <w:t xml:space="preserve"> potenciálně vyhnout. </w:t>
      </w:r>
      <w:r w:rsidRPr="004E7438">
        <w:rPr>
          <w:lang w:val="cs-CZ"/>
        </w:rPr>
        <w:t xml:space="preserve">Celkově byla senzitivita testu 0,976 a </w:t>
      </w:r>
      <w:r w:rsidR="00AF2479">
        <w:rPr>
          <w:lang w:val="cs-CZ"/>
        </w:rPr>
        <w:t>negativní prediktivní hodnota (</w:t>
      </w:r>
      <w:r w:rsidRPr="004E7438">
        <w:rPr>
          <w:lang w:val="cs-CZ"/>
        </w:rPr>
        <w:t>NPV</w:t>
      </w:r>
      <w:r w:rsidR="00AF2479">
        <w:rPr>
          <w:lang w:val="cs-CZ"/>
        </w:rPr>
        <w:t>)</w:t>
      </w:r>
      <w:r w:rsidRPr="004E7438">
        <w:rPr>
          <w:lang w:val="cs-CZ"/>
        </w:rPr>
        <w:t xml:space="preserve"> 0,996 pro akutní intrakraniální </w:t>
      </w:r>
      <w:r w:rsidR="00B53755" w:rsidRPr="004E7438">
        <w:rPr>
          <w:lang w:val="cs-CZ"/>
        </w:rPr>
        <w:t>poškození.</w:t>
      </w:r>
      <w:r w:rsidR="007A5322">
        <w:rPr>
          <w:vertAlign w:val="superscript"/>
          <w:lang w:val="cs-CZ"/>
        </w:rPr>
        <w:t>14</w:t>
      </w:r>
    </w:p>
    <w:p w14:paraId="1ADA829F" w14:textId="02953441" w:rsidR="00002423" w:rsidRPr="004E7438" w:rsidRDefault="0070433E" w:rsidP="00002423">
      <w:pPr>
        <w:rPr>
          <w:lang w:val="cs-CZ"/>
        </w:rPr>
      </w:pPr>
      <w:proofErr w:type="spellStart"/>
      <w:r w:rsidRPr="004E7438">
        <w:rPr>
          <w:lang w:val="cs-CZ"/>
        </w:rPr>
        <w:t>Okonkwo</w:t>
      </w:r>
      <w:proofErr w:type="spellEnd"/>
      <w:r w:rsidR="00002423" w:rsidRPr="004E7438">
        <w:rPr>
          <w:lang w:val="cs-CZ"/>
        </w:rPr>
        <w:t xml:space="preserve"> </w:t>
      </w:r>
      <w:r w:rsidR="00002423" w:rsidRPr="004E7438">
        <w:rPr>
          <w:i/>
          <w:lang w:val="cs-CZ"/>
        </w:rPr>
        <w:t>et al. (2020)</w:t>
      </w:r>
      <w:r w:rsidR="00002423" w:rsidRPr="004E7438">
        <w:rPr>
          <w:lang w:val="cs-CZ"/>
        </w:rPr>
        <w:t xml:space="preserve"> analyzoval 1 359 pacientů s mírným až těžkým TBI (84 % mírný, definovaný jako GCS 13-15). Studie porovnávala diagnostick</w:t>
      </w:r>
      <w:r w:rsidRPr="004E7438">
        <w:rPr>
          <w:lang w:val="cs-CZ"/>
        </w:rPr>
        <w:t xml:space="preserve">é </w:t>
      </w:r>
      <w:r w:rsidR="00DB7A11">
        <w:rPr>
          <w:lang w:val="cs-CZ"/>
        </w:rPr>
        <w:t xml:space="preserve">výsledky </w:t>
      </w:r>
      <w:r w:rsidR="00002423" w:rsidRPr="004E7438">
        <w:rPr>
          <w:i/>
          <w:lang w:val="cs-CZ"/>
        </w:rPr>
        <w:t>GFAP</w:t>
      </w:r>
      <w:r w:rsidR="00002423" w:rsidRPr="004E7438">
        <w:rPr>
          <w:lang w:val="cs-CZ"/>
        </w:rPr>
        <w:t xml:space="preserve"> měřen</w:t>
      </w:r>
      <w:r w:rsidRPr="004E7438">
        <w:rPr>
          <w:lang w:val="cs-CZ"/>
        </w:rPr>
        <w:t>ím</w:t>
      </w:r>
      <w:r w:rsidR="00002423" w:rsidRPr="004E7438">
        <w:rPr>
          <w:lang w:val="cs-CZ"/>
        </w:rPr>
        <w:t xml:space="preserve"> na prototypu testu Abbott TBI </w:t>
      </w:r>
      <w:r w:rsidRPr="004E7438">
        <w:rPr>
          <w:lang w:val="cs-CZ"/>
        </w:rPr>
        <w:t>vs</w:t>
      </w:r>
      <w:r w:rsidR="00002423" w:rsidRPr="004E7438">
        <w:rPr>
          <w:lang w:val="cs-CZ"/>
        </w:rPr>
        <w:t xml:space="preserve"> S100B při predikci intrakraniálních abnormalit na CT do 24 hodin po poranění. U pacientů s negativním CT vyšetření hlavy byla průměrná doba od poranění do odběru krve 13,1 hodiny (směrodatná odchylka [SD] = 6,8 hodiny), zatímco průměrná doba od poranění do odběru krve u subjektů s pozitivním CT vyšetření hlavy byla 16,1 hodiny (SD = 5,8 hodiny). Zjištění ukázala, že </w:t>
      </w:r>
      <w:r w:rsidR="00002423" w:rsidRPr="004E7438">
        <w:rPr>
          <w:i/>
          <w:lang w:val="cs-CZ"/>
        </w:rPr>
        <w:t>GFAP</w:t>
      </w:r>
      <w:r w:rsidR="00002423" w:rsidRPr="004E7438">
        <w:rPr>
          <w:lang w:val="cs-CZ"/>
        </w:rPr>
        <w:t xml:space="preserve"> překonal S100B. Hodnota AUC </w:t>
      </w:r>
      <w:r w:rsidR="00002423" w:rsidRPr="004E7438">
        <w:rPr>
          <w:i/>
          <w:lang w:val="cs-CZ"/>
        </w:rPr>
        <w:t>GFAP</w:t>
      </w:r>
      <w:r w:rsidR="00002423" w:rsidRPr="004E7438">
        <w:rPr>
          <w:lang w:val="cs-CZ"/>
        </w:rPr>
        <w:t xml:space="preserve"> pro predikci léze na CT vyšetření byla 0,853, kategorizována jako "velmi dobrá", zatímco AUC S100B byla pouhých 0,67, což bylo pod předem stanovenou hranicí </w:t>
      </w:r>
      <w:r w:rsidRPr="004E7438">
        <w:rPr>
          <w:lang w:val="cs-CZ"/>
        </w:rPr>
        <w:t xml:space="preserve">definovanou jako </w:t>
      </w:r>
      <w:r w:rsidR="00002423" w:rsidRPr="004E7438">
        <w:rPr>
          <w:lang w:val="cs-CZ"/>
        </w:rPr>
        <w:t>"špatný" vý</w:t>
      </w:r>
      <w:r w:rsidRPr="004E7438">
        <w:rPr>
          <w:lang w:val="cs-CZ"/>
        </w:rPr>
        <w:t>sledek</w:t>
      </w:r>
      <w:r w:rsidR="00DB7A11">
        <w:rPr>
          <w:lang w:val="cs-CZ"/>
        </w:rPr>
        <w:t>.</w:t>
      </w:r>
      <w:r w:rsidR="00002423" w:rsidRPr="004E7438">
        <w:rPr>
          <w:lang w:val="cs-CZ"/>
        </w:rPr>
        <w:t xml:space="preserve"> Po</w:t>
      </w:r>
      <w:r w:rsidRPr="004E7438">
        <w:rPr>
          <w:lang w:val="cs-CZ"/>
        </w:rPr>
        <w:t xml:space="preserve">užitím </w:t>
      </w:r>
      <w:r w:rsidR="00002423" w:rsidRPr="004E7438">
        <w:rPr>
          <w:lang w:val="cs-CZ"/>
        </w:rPr>
        <w:t>předem stanovené hraniční hodnot</w:t>
      </w:r>
      <w:r w:rsidRPr="004E7438">
        <w:rPr>
          <w:lang w:val="cs-CZ"/>
        </w:rPr>
        <w:t xml:space="preserve">y </w:t>
      </w:r>
      <w:r w:rsidRPr="004E7438">
        <w:rPr>
          <w:i/>
          <w:lang w:val="cs-CZ"/>
        </w:rPr>
        <w:t>GFAP</w:t>
      </w:r>
      <w:r w:rsidR="00002423" w:rsidRPr="004E7438">
        <w:rPr>
          <w:lang w:val="cs-CZ"/>
        </w:rPr>
        <w:t xml:space="preserve"> </w:t>
      </w:r>
      <w:r w:rsidRPr="004E7438">
        <w:rPr>
          <w:lang w:val="cs-CZ"/>
        </w:rPr>
        <w:t xml:space="preserve">na </w:t>
      </w:r>
      <w:r w:rsidR="00002423" w:rsidRPr="004E7438">
        <w:rPr>
          <w:lang w:val="cs-CZ"/>
        </w:rPr>
        <w:t xml:space="preserve">22 </w:t>
      </w:r>
      <w:proofErr w:type="spellStart"/>
      <w:r w:rsidR="00002423" w:rsidRPr="004E7438">
        <w:rPr>
          <w:lang w:val="cs-CZ"/>
        </w:rPr>
        <w:t>pg</w:t>
      </w:r>
      <w:proofErr w:type="spellEnd"/>
      <w:r w:rsidR="00002423" w:rsidRPr="004E7438">
        <w:rPr>
          <w:lang w:val="cs-CZ"/>
        </w:rPr>
        <w:t xml:space="preserve">/ml, prototyp </w:t>
      </w:r>
      <w:proofErr w:type="spellStart"/>
      <w:r w:rsidR="00002423" w:rsidRPr="004E7438">
        <w:rPr>
          <w:lang w:val="cs-CZ"/>
        </w:rPr>
        <w:t>Abbott</w:t>
      </w:r>
      <w:proofErr w:type="spellEnd"/>
      <w:r w:rsidR="00002423" w:rsidRPr="004E7438">
        <w:rPr>
          <w:lang w:val="cs-CZ"/>
        </w:rPr>
        <w:t xml:space="preserve"> testu TBI měl senzitivitu 0,987 a NPV </w:t>
      </w:r>
      <w:r w:rsidR="004031A4" w:rsidRPr="004E7438">
        <w:rPr>
          <w:lang w:val="cs-CZ"/>
        </w:rPr>
        <w:t>0,988.</w:t>
      </w:r>
      <w:r w:rsidR="00CF7222">
        <w:rPr>
          <w:vertAlign w:val="superscript"/>
          <w:lang w:val="cs-CZ"/>
        </w:rPr>
        <w:t>13</w:t>
      </w:r>
    </w:p>
    <w:p w14:paraId="4BD1DCD0" w14:textId="56FC2CCF" w:rsidR="00002423" w:rsidRPr="004E7438" w:rsidRDefault="00002423" w:rsidP="00002423">
      <w:pPr>
        <w:rPr>
          <w:lang w:val="cs-CZ"/>
        </w:rPr>
      </w:pPr>
      <w:proofErr w:type="spellStart"/>
      <w:r w:rsidRPr="004E7438">
        <w:rPr>
          <w:lang w:val="cs-CZ"/>
        </w:rPr>
        <w:t>Biberthaler</w:t>
      </w:r>
      <w:proofErr w:type="spellEnd"/>
      <w:r w:rsidRPr="004E7438">
        <w:rPr>
          <w:lang w:val="cs-CZ"/>
        </w:rPr>
        <w:t xml:space="preserve"> </w:t>
      </w:r>
      <w:r w:rsidRPr="004E7438">
        <w:rPr>
          <w:i/>
          <w:iCs/>
          <w:lang w:val="cs-CZ"/>
        </w:rPr>
        <w:t>et al. (2021)</w:t>
      </w:r>
      <w:r w:rsidRPr="004E7438">
        <w:rPr>
          <w:lang w:val="cs-CZ"/>
        </w:rPr>
        <w:t xml:space="preserve"> provedl prospektivní observační studii s cílem vyhodnotit souvislost mezi </w:t>
      </w:r>
      <w:r w:rsidRPr="004E7438">
        <w:rPr>
          <w:i/>
          <w:iCs/>
          <w:lang w:val="cs-CZ"/>
        </w:rPr>
        <w:t>UCH</w:t>
      </w:r>
      <w:r w:rsidR="00144362">
        <w:rPr>
          <w:i/>
          <w:iCs/>
          <w:lang w:val="cs-CZ"/>
        </w:rPr>
        <w:noBreakHyphen/>
      </w:r>
      <w:r w:rsidRPr="004E7438">
        <w:rPr>
          <w:i/>
          <w:iCs/>
          <w:lang w:val="cs-CZ"/>
        </w:rPr>
        <w:t>L1</w:t>
      </w:r>
      <w:r w:rsidRPr="004E7438">
        <w:rPr>
          <w:lang w:val="cs-CZ"/>
        </w:rPr>
        <w:t xml:space="preserve">, </w:t>
      </w:r>
      <w:r w:rsidRPr="004E7438">
        <w:rPr>
          <w:i/>
          <w:iCs/>
          <w:lang w:val="cs-CZ"/>
        </w:rPr>
        <w:t>GFAP</w:t>
      </w:r>
      <w:r w:rsidR="0070433E" w:rsidRPr="004E7438">
        <w:rPr>
          <w:i/>
          <w:iCs/>
          <w:lang w:val="cs-CZ"/>
        </w:rPr>
        <w:t xml:space="preserve"> </w:t>
      </w:r>
      <w:r w:rsidRPr="004E7438">
        <w:rPr>
          <w:lang w:val="cs-CZ"/>
        </w:rPr>
        <w:t xml:space="preserve">a S100B </w:t>
      </w:r>
      <w:r w:rsidR="0070433E" w:rsidRPr="004E7438">
        <w:rPr>
          <w:lang w:val="cs-CZ"/>
        </w:rPr>
        <w:t xml:space="preserve">v plazmě </w:t>
      </w:r>
      <w:r w:rsidRPr="004E7438">
        <w:rPr>
          <w:lang w:val="cs-CZ"/>
        </w:rPr>
        <w:t xml:space="preserve">s intrakraniálními abnormalitami viditelnými na CT vyšetření pomocí prototypů testů Abbott. </w:t>
      </w:r>
      <w:r w:rsidR="0070433E" w:rsidRPr="004E7438">
        <w:rPr>
          <w:lang w:val="cs-CZ"/>
        </w:rPr>
        <w:t>K</w:t>
      </w:r>
      <w:r w:rsidRPr="004E7438">
        <w:rPr>
          <w:lang w:val="cs-CZ"/>
        </w:rPr>
        <w:t>ohort</w:t>
      </w:r>
      <w:r w:rsidR="0070433E" w:rsidRPr="004E7438">
        <w:rPr>
          <w:lang w:val="cs-CZ"/>
        </w:rPr>
        <w:t>ě</w:t>
      </w:r>
      <w:r w:rsidRPr="004E7438">
        <w:rPr>
          <w:lang w:val="cs-CZ"/>
        </w:rPr>
        <w:t xml:space="preserve"> 109 dospělých pacientů s TBI (94 % mírný, definovaný jako GCS 13-15) </w:t>
      </w:r>
      <w:r w:rsidR="0070433E" w:rsidRPr="004E7438">
        <w:rPr>
          <w:lang w:val="cs-CZ"/>
        </w:rPr>
        <w:t xml:space="preserve">byly odebrány </w:t>
      </w:r>
      <w:r w:rsidRPr="004E7438">
        <w:rPr>
          <w:lang w:val="cs-CZ"/>
        </w:rPr>
        <w:t xml:space="preserve">vzorky </w:t>
      </w:r>
      <w:r w:rsidR="0070433E" w:rsidRPr="004E7438">
        <w:rPr>
          <w:lang w:val="cs-CZ"/>
        </w:rPr>
        <w:t>krve</w:t>
      </w:r>
      <w:r w:rsidRPr="004E7438">
        <w:rPr>
          <w:lang w:val="cs-CZ"/>
        </w:rPr>
        <w:t xml:space="preserve"> do 6 hodin od poranění, zatímco </w:t>
      </w:r>
      <w:proofErr w:type="spellStart"/>
      <w:r w:rsidRPr="004E7438">
        <w:rPr>
          <w:lang w:val="cs-CZ"/>
        </w:rPr>
        <w:t>hyperakutní</w:t>
      </w:r>
      <w:proofErr w:type="spellEnd"/>
      <w:r w:rsidRPr="004E7438">
        <w:rPr>
          <w:lang w:val="cs-CZ"/>
        </w:rPr>
        <w:t xml:space="preserve"> </w:t>
      </w:r>
      <w:proofErr w:type="spellStart"/>
      <w:r w:rsidRPr="004E7438">
        <w:rPr>
          <w:lang w:val="cs-CZ"/>
        </w:rPr>
        <w:t>podkohorta</w:t>
      </w:r>
      <w:proofErr w:type="spellEnd"/>
      <w:r w:rsidRPr="004E7438">
        <w:rPr>
          <w:lang w:val="cs-CZ"/>
        </w:rPr>
        <w:t xml:space="preserve"> 20 pacientů, kterým byla odebrána krev do 2 hodin od poranění, byla samostatně analyzována na časné hladiny akutních biomarkerů. Výzkumníci prokázali, že </w:t>
      </w:r>
      <w:r w:rsidRPr="004E7438">
        <w:rPr>
          <w:i/>
          <w:iCs/>
          <w:lang w:val="cs-CZ"/>
        </w:rPr>
        <w:t>GFAP</w:t>
      </w:r>
      <w:r w:rsidRPr="004E7438">
        <w:rPr>
          <w:lang w:val="cs-CZ"/>
        </w:rPr>
        <w:t xml:space="preserve"> a </w:t>
      </w:r>
      <w:r w:rsidRPr="004E7438">
        <w:rPr>
          <w:i/>
          <w:iCs/>
          <w:lang w:val="cs-CZ"/>
        </w:rPr>
        <w:t>UCH-L1</w:t>
      </w:r>
      <w:r w:rsidRPr="004E7438">
        <w:rPr>
          <w:lang w:val="cs-CZ"/>
        </w:rPr>
        <w:t xml:space="preserve"> hladiny byly signifikantně vyšší v CT</w:t>
      </w:r>
      <w:r w:rsidR="00AF2479">
        <w:rPr>
          <w:i/>
          <w:iCs/>
          <w:lang w:val="cs-CZ"/>
        </w:rPr>
        <w:noBreakHyphen/>
      </w:r>
      <w:r w:rsidRPr="004E7438">
        <w:rPr>
          <w:lang w:val="cs-CZ"/>
        </w:rPr>
        <w:t xml:space="preserve">pozitivních skupinách ve srovnání s CT-negativními pacienty. </w:t>
      </w:r>
      <w:bookmarkStart w:id="12" w:name="_Hlk98831831"/>
      <w:r w:rsidRPr="004E7438">
        <w:rPr>
          <w:i/>
          <w:iCs/>
          <w:lang w:val="cs-CZ"/>
        </w:rPr>
        <w:t>GFAP</w:t>
      </w:r>
      <w:r w:rsidRPr="004E7438">
        <w:rPr>
          <w:lang w:val="cs-CZ"/>
        </w:rPr>
        <w:t xml:space="preserve"> dokázal rozlišit mezi dvěma skupinami pacientů s nejvyšší AUC (0,97), těsně následované </w:t>
      </w:r>
      <w:r w:rsidRPr="004E7438">
        <w:rPr>
          <w:i/>
          <w:iCs/>
          <w:lang w:val="cs-CZ"/>
        </w:rPr>
        <w:t>UCH-L1</w:t>
      </w:r>
      <w:r w:rsidRPr="004E7438">
        <w:rPr>
          <w:lang w:val="cs-CZ"/>
        </w:rPr>
        <w:t xml:space="preserve"> (0,87), což znamená, že oba biomarkery jsou vhodné pro vyloučení CT v akutní </w:t>
      </w:r>
      <w:bookmarkEnd w:id="12"/>
      <w:r w:rsidR="004031A4" w:rsidRPr="004E7438">
        <w:rPr>
          <w:lang w:val="cs-CZ"/>
        </w:rPr>
        <w:t>situaci.</w:t>
      </w:r>
      <w:r w:rsidR="00B2743A">
        <w:rPr>
          <w:vertAlign w:val="superscript"/>
          <w:lang w:val="cs-CZ"/>
        </w:rPr>
        <w:t>22</w:t>
      </w:r>
    </w:p>
    <w:p w14:paraId="4D10E33D" w14:textId="2C749843" w:rsidR="00002423" w:rsidRPr="004E7438" w:rsidRDefault="00002423" w:rsidP="00002423">
      <w:pPr>
        <w:rPr>
          <w:lang w:val="cs-CZ"/>
        </w:rPr>
      </w:pPr>
      <w:r w:rsidRPr="004E7438">
        <w:rPr>
          <w:lang w:val="cs-CZ"/>
        </w:rPr>
        <w:t xml:space="preserve">V post hoc analýze </w:t>
      </w:r>
      <w:proofErr w:type="spellStart"/>
      <w:r w:rsidRPr="004E7438">
        <w:rPr>
          <w:lang w:val="cs-CZ"/>
        </w:rPr>
        <w:t>Bazarian</w:t>
      </w:r>
      <w:proofErr w:type="spellEnd"/>
      <w:r w:rsidRPr="004E7438">
        <w:rPr>
          <w:lang w:val="cs-CZ"/>
        </w:rPr>
        <w:t xml:space="preserve"> et al. (2021) vyhodnotili prediktivní přesnost rychlého testu kombinujícího oba </w:t>
      </w:r>
      <w:r w:rsidRPr="004E7438">
        <w:rPr>
          <w:i/>
          <w:iCs/>
          <w:lang w:val="cs-CZ"/>
        </w:rPr>
        <w:t>GFAP</w:t>
      </w:r>
      <w:r w:rsidRPr="004E7438">
        <w:rPr>
          <w:lang w:val="cs-CZ"/>
        </w:rPr>
        <w:t xml:space="preserve"> a </w:t>
      </w:r>
      <w:r w:rsidRPr="004E7438">
        <w:rPr>
          <w:i/>
          <w:iCs/>
          <w:lang w:val="cs-CZ"/>
        </w:rPr>
        <w:t>UCH-L1</w:t>
      </w:r>
      <w:r w:rsidRPr="004E7438">
        <w:rPr>
          <w:lang w:val="cs-CZ"/>
        </w:rPr>
        <w:t>, měřeno pomocí plazmového testu i-STAT TBI analýzou vzorků plazmy z prospektivní studie ALERT-TBI</w:t>
      </w:r>
      <w:r w:rsidR="00AF2479">
        <w:rPr>
          <w:lang w:val="cs-CZ"/>
        </w:rPr>
        <w:t>,</w:t>
      </w:r>
      <w:r w:rsidRPr="004E7438">
        <w:rPr>
          <w:lang w:val="cs-CZ"/>
        </w:rPr>
        <w:t xml:space="preserve"> popsané výše. Vzorky od 1 901 pacientů s </w:t>
      </w:r>
      <w:proofErr w:type="spellStart"/>
      <w:r w:rsidRPr="004E7438">
        <w:rPr>
          <w:lang w:val="cs-CZ"/>
        </w:rPr>
        <w:t>mTBI</w:t>
      </w:r>
      <w:proofErr w:type="spellEnd"/>
      <w:r w:rsidRPr="004E7438">
        <w:rPr>
          <w:lang w:val="cs-CZ"/>
        </w:rPr>
        <w:t xml:space="preserve"> (definovanými jako GCS 13-15), kterým byla odebrána krev do 12 hodin od poranění, byly analyzovány a výsledky testů byly porovnány se standardním CT skenem hlavy. Výsledky naznačují, že subjekty s </w:t>
      </w:r>
      <w:r w:rsidRPr="004E7438">
        <w:rPr>
          <w:i/>
          <w:iCs/>
          <w:lang w:val="cs-CZ"/>
        </w:rPr>
        <w:t>GFAP</w:t>
      </w:r>
      <w:r w:rsidRPr="004E7438">
        <w:rPr>
          <w:lang w:val="cs-CZ"/>
        </w:rPr>
        <w:t xml:space="preserve"> nebo </w:t>
      </w:r>
      <w:r w:rsidRPr="004E7438">
        <w:rPr>
          <w:i/>
          <w:iCs/>
          <w:lang w:val="cs-CZ"/>
        </w:rPr>
        <w:t>UCH-L1</w:t>
      </w:r>
      <w:r w:rsidRPr="004E7438">
        <w:rPr>
          <w:lang w:val="cs-CZ"/>
        </w:rPr>
        <w:t xml:space="preserve"> koncentrac</w:t>
      </w:r>
      <w:r w:rsidR="0070433E" w:rsidRPr="004E7438">
        <w:rPr>
          <w:lang w:val="cs-CZ"/>
        </w:rPr>
        <w:t xml:space="preserve">í </w:t>
      </w:r>
      <w:r w:rsidRPr="004E7438">
        <w:rPr>
          <w:lang w:val="cs-CZ"/>
        </w:rPr>
        <w:t xml:space="preserve">v horních 5 %, 10 % a 25 % testovaných subjektů měly vyšší pravděpodobnost, že budou CT pozitivní ve srovnání se subjekty s koncentracemi pod předem stanovenými hranicemi. Pro oba </w:t>
      </w:r>
      <w:r w:rsidRPr="004E7438">
        <w:rPr>
          <w:i/>
          <w:iCs/>
          <w:lang w:val="cs-CZ"/>
        </w:rPr>
        <w:t>GFAP</w:t>
      </w:r>
      <w:r w:rsidRPr="004E7438">
        <w:rPr>
          <w:lang w:val="cs-CZ"/>
        </w:rPr>
        <w:t xml:space="preserve"> a </w:t>
      </w:r>
      <w:r w:rsidRPr="004E7438">
        <w:rPr>
          <w:i/>
          <w:iCs/>
          <w:lang w:val="cs-CZ"/>
        </w:rPr>
        <w:t>UCH-L1</w:t>
      </w:r>
      <w:r w:rsidR="0070433E" w:rsidRPr="004E7438">
        <w:rPr>
          <w:i/>
          <w:iCs/>
          <w:lang w:val="cs-CZ"/>
        </w:rPr>
        <w:t xml:space="preserve"> </w:t>
      </w:r>
      <w:r w:rsidRPr="004E7438">
        <w:rPr>
          <w:lang w:val="cs-CZ"/>
        </w:rPr>
        <w:t xml:space="preserve">byly mediánové hodnoty u CT-pozitivních subjektů vyšší než u CT-negativních subjektů (). </w:t>
      </w:r>
      <w:r w:rsidR="00AF2479">
        <w:rPr>
          <w:lang w:val="cs-CZ"/>
        </w:rPr>
        <w:t>Za zmínku stojí</w:t>
      </w:r>
      <w:r w:rsidRPr="004E7438">
        <w:rPr>
          <w:lang w:val="cs-CZ"/>
        </w:rPr>
        <w:t xml:space="preserve">, že "nezvýšený" test </w:t>
      </w:r>
      <w:r w:rsidR="00B8275F">
        <w:rPr>
          <w:lang w:val="cs-CZ"/>
        </w:rPr>
        <w:t>i</w:t>
      </w:r>
      <w:r w:rsidRPr="004E7438">
        <w:rPr>
          <w:lang w:val="cs-CZ"/>
        </w:rPr>
        <w:t>-STAT TBI by vedl k 725 (725/1901; 38,1 %) menšímu počtu CT skenů. Pět subjektů mělo falešně negativní výsledky testů; žádný z nich však ne</w:t>
      </w:r>
      <w:r w:rsidR="0070433E" w:rsidRPr="004E7438">
        <w:rPr>
          <w:lang w:val="cs-CZ"/>
        </w:rPr>
        <w:t xml:space="preserve">vyžadoval </w:t>
      </w:r>
      <w:r w:rsidRPr="004E7438">
        <w:rPr>
          <w:lang w:val="cs-CZ"/>
        </w:rPr>
        <w:t xml:space="preserve">chirurgicky </w:t>
      </w:r>
      <w:proofErr w:type="spellStart"/>
      <w:proofErr w:type="gramStart"/>
      <w:r w:rsidRPr="004E7438">
        <w:rPr>
          <w:lang w:val="cs-CZ"/>
        </w:rPr>
        <w:t>z</w:t>
      </w:r>
      <w:r w:rsidR="0070433E" w:rsidRPr="004E7438">
        <w:rPr>
          <w:lang w:val="cs-CZ"/>
        </w:rPr>
        <w:t>ákrok</w:t>
      </w:r>
      <w:r w:rsidR="005035FA">
        <w:rPr>
          <w:lang w:val="cs-CZ"/>
        </w:rPr>
        <w:t>.</w:t>
      </w:r>
      <w:r w:rsidRPr="004E7438">
        <w:rPr>
          <w:lang w:val="cs-CZ"/>
        </w:rPr>
        <w:t>Tato</w:t>
      </w:r>
      <w:proofErr w:type="spellEnd"/>
      <w:proofErr w:type="gramEnd"/>
      <w:r w:rsidRPr="004E7438">
        <w:rPr>
          <w:lang w:val="cs-CZ"/>
        </w:rPr>
        <w:t xml:space="preserve"> studie </w:t>
      </w:r>
      <w:r w:rsidR="00AF2479">
        <w:rPr>
          <w:lang w:val="cs-CZ"/>
        </w:rPr>
        <w:t xml:space="preserve">podporuje </w:t>
      </w:r>
      <w:r w:rsidRPr="004E7438">
        <w:rPr>
          <w:lang w:val="cs-CZ"/>
        </w:rPr>
        <w:t xml:space="preserve">potenciál obou </w:t>
      </w:r>
      <w:r w:rsidRPr="004E7438">
        <w:rPr>
          <w:i/>
          <w:iCs/>
          <w:lang w:val="cs-CZ"/>
        </w:rPr>
        <w:t>GFAP</w:t>
      </w:r>
      <w:r w:rsidRPr="004E7438">
        <w:rPr>
          <w:lang w:val="cs-CZ"/>
        </w:rPr>
        <w:t xml:space="preserve"> a </w:t>
      </w:r>
      <w:r w:rsidRPr="004E7438">
        <w:rPr>
          <w:i/>
          <w:iCs/>
          <w:lang w:val="cs-CZ"/>
        </w:rPr>
        <w:t>UCH-L1</w:t>
      </w:r>
      <w:r w:rsidRPr="004E7438">
        <w:rPr>
          <w:lang w:val="cs-CZ"/>
        </w:rPr>
        <w:t xml:space="preserve"> snížit používání CT a pomoc</w:t>
      </w:r>
      <w:r w:rsidR="00AF2479">
        <w:rPr>
          <w:lang w:val="cs-CZ"/>
        </w:rPr>
        <w:t>i</w:t>
      </w:r>
      <w:r w:rsidRPr="004E7438">
        <w:rPr>
          <w:lang w:val="cs-CZ"/>
        </w:rPr>
        <w:t xml:space="preserve"> při rozhodování na </w:t>
      </w:r>
      <w:r w:rsidR="0070433E" w:rsidRPr="004E7438">
        <w:rPr>
          <w:lang w:val="cs-CZ"/>
        </w:rPr>
        <w:t xml:space="preserve">přetížených </w:t>
      </w:r>
      <w:r w:rsidR="004031A4" w:rsidRPr="004E7438">
        <w:rPr>
          <w:lang w:val="cs-CZ"/>
        </w:rPr>
        <w:t>pohotovostech.</w:t>
      </w:r>
      <w:r w:rsidR="00B2743A">
        <w:rPr>
          <w:vertAlign w:val="superscript"/>
          <w:lang w:val="cs-CZ"/>
        </w:rPr>
        <w:t>20</w:t>
      </w:r>
      <w:r w:rsidR="004031A4" w:rsidRPr="004E7438">
        <w:rPr>
          <w:lang w:val="cs-CZ"/>
        </w:rPr>
        <w:t xml:space="preserve"> </w:t>
      </w:r>
      <w:r w:rsidRPr="004E7438">
        <w:rPr>
          <w:lang w:val="cs-CZ"/>
        </w:rPr>
        <w:t xml:space="preserve"> </w:t>
      </w:r>
    </w:p>
    <w:p w14:paraId="1BEA8689" w14:textId="60876F40" w:rsidR="00002423" w:rsidRPr="004E7438" w:rsidRDefault="00002423" w:rsidP="00002423">
      <w:pPr>
        <w:rPr>
          <w:lang w:val="cs-CZ"/>
        </w:rPr>
      </w:pPr>
      <w:r w:rsidRPr="004E7438">
        <w:rPr>
          <w:rFonts w:eastAsiaTheme="minorEastAsia"/>
          <w:lang w:val="cs-CZ"/>
        </w:rPr>
        <w:t>Výsledky podporují potenciální klinickou roli t</w:t>
      </w:r>
      <w:r w:rsidR="00AF2479">
        <w:rPr>
          <w:rFonts w:eastAsiaTheme="minorEastAsia"/>
          <w:lang w:val="cs-CZ"/>
        </w:rPr>
        <w:t>ě</w:t>
      </w:r>
      <w:r w:rsidR="0070433E" w:rsidRPr="004E7438">
        <w:rPr>
          <w:rFonts w:eastAsiaTheme="minorEastAsia"/>
          <w:lang w:val="cs-CZ"/>
        </w:rPr>
        <w:t>chto</w:t>
      </w:r>
      <w:r w:rsidRPr="004E7438">
        <w:rPr>
          <w:rFonts w:eastAsiaTheme="minorEastAsia"/>
          <w:lang w:val="cs-CZ"/>
        </w:rPr>
        <w:t xml:space="preserve"> biomarkerů pro vyloučení potřeby CT vyšetření hlavy u pacientů s TBI, kteří se dostaví na urgentní příjem, u kterých by jinak bylo klinicky indikováno CT hlavy.</w:t>
      </w:r>
    </w:p>
    <w:p w14:paraId="0F37F46A" w14:textId="5FCB0314" w:rsidR="00002423" w:rsidRPr="004E7438" w:rsidRDefault="00002423" w:rsidP="00002423">
      <w:pPr>
        <w:rPr>
          <w:lang w:val="cs-CZ"/>
        </w:rPr>
      </w:pPr>
      <w:r w:rsidRPr="004E7438">
        <w:rPr>
          <w:lang w:val="cs-CZ"/>
        </w:rPr>
        <w:t xml:space="preserve">Nedávno několik nemocnic po celé Evropě provedlo nezávislé hodnocení testu </w:t>
      </w:r>
      <w:proofErr w:type="spellStart"/>
      <w:r w:rsidRPr="004E7438">
        <w:rPr>
          <w:lang w:val="cs-CZ"/>
        </w:rPr>
        <w:t>Alinity</w:t>
      </w:r>
      <w:proofErr w:type="spellEnd"/>
      <w:r w:rsidRPr="004E7438">
        <w:rPr>
          <w:lang w:val="cs-CZ"/>
        </w:rPr>
        <w:t xml:space="preserve"> TBI. Nyní jsou k dispozici dvě publikace těchto hodnocení. V nezávislé studii </w:t>
      </w:r>
      <w:proofErr w:type="spellStart"/>
      <w:r w:rsidRPr="004E7438">
        <w:rPr>
          <w:lang w:val="cs-CZ"/>
        </w:rPr>
        <w:t>Oris</w:t>
      </w:r>
      <w:proofErr w:type="spellEnd"/>
      <w:r w:rsidRPr="004E7438">
        <w:rPr>
          <w:lang w:val="cs-CZ"/>
        </w:rPr>
        <w:t xml:space="preserve"> et al. (2024) hodnotili diagnostický výkon testů </w:t>
      </w:r>
      <w:proofErr w:type="spellStart"/>
      <w:r w:rsidRPr="004E7438">
        <w:rPr>
          <w:lang w:val="cs-CZ"/>
        </w:rPr>
        <w:t>Alinity</w:t>
      </w:r>
      <w:proofErr w:type="spellEnd"/>
      <w:r w:rsidRPr="004E7438">
        <w:rPr>
          <w:lang w:val="cs-CZ"/>
        </w:rPr>
        <w:t xml:space="preserve"> a i-STAT TBI u prospektivní kohorty 230 pacientů </w:t>
      </w:r>
      <w:proofErr w:type="spellStart"/>
      <w:r w:rsidRPr="004E7438">
        <w:rPr>
          <w:lang w:val="cs-CZ"/>
        </w:rPr>
        <w:t>mTBI</w:t>
      </w:r>
      <w:proofErr w:type="spellEnd"/>
      <w:r w:rsidRPr="004E7438">
        <w:rPr>
          <w:lang w:val="cs-CZ"/>
        </w:rPr>
        <w:t xml:space="preserve"> (GCS 13-15)</w:t>
      </w:r>
      <w:r w:rsidR="00AF2479">
        <w:rPr>
          <w:lang w:val="cs-CZ"/>
        </w:rPr>
        <w:t>,</w:t>
      </w:r>
      <w:r w:rsidRPr="004E7438">
        <w:rPr>
          <w:lang w:val="cs-CZ"/>
        </w:rPr>
        <w:t xml:space="preserve"> přijatých na pohotovostní oddělení univerzitní nemocnice </w:t>
      </w:r>
      <w:proofErr w:type="spellStart"/>
      <w:r w:rsidRPr="004E7438">
        <w:rPr>
          <w:lang w:val="cs-CZ"/>
        </w:rPr>
        <w:t>Clermont-Ferrand</w:t>
      </w:r>
      <w:proofErr w:type="spellEnd"/>
      <w:r w:rsidRPr="004E7438">
        <w:rPr>
          <w:lang w:val="cs-CZ"/>
        </w:rPr>
        <w:t xml:space="preserve"> ve Francii</w:t>
      </w:r>
      <w:r w:rsidR="00AF2479">
        <w:rPr>
          <w:lang w:val="cs-CZ"/>
        </w:rPr>
        <w:t>,</w:t>
      </w:r>
      <w:r w:rsidRPr="004E7438">
        <w:rPr>
          <w:lang w:val="cs-CZ"/>
        </w:rPr>
        <w:t xml:space="preserve"> do 12 hodin od traumatu. Všichni tito pacienti podstoupili CT hlavy dle místní praxe, přičemž pouze u 5 % (11 pacientů) byly abnormality viditelné na CT vyšetření. </w:t>
      </w:r>
      <w:proofErr w:type="spellStart"/>
      <w:r w:rsidRPr="004E7438">
        <w:rPr>
          <w:lang w:val="cs-CZ"/>
        </w:rPr>
        <w:t>Alinity</w:t>
      </w:r>
      <w:proofErr w:type="spellEnd"/>
      <w:r w:rsidRPr="004E7438">
        <w:rPr>
          <w:lang w:val="cs-CZ"/>
        </w:rPr>
        <w:t xml:space="preserve"> TBI test prokázal </w:t>
      </w:r>
      <w:proofErr w:type="gramStart"/>
      <w:r w:rsidRPr="004E7438">
        <w:rPr>
          <w:lang w:val="cs-CZ"/>
        </w:rPr>
        <w:t>100%</w:t>
      </w:r>
      <w:proofErr w:type="gramEnd"/>
      <w:r w:rsidRPr="004E7438">
        <w:rPr>
          <w:lang w:val="cs-CZ"/>
        </w:rPr>
        <w:t xml:space="preserve"> senzitivitu a 100% NPV vůči intrakraniálním lézím. Klinické použití testu by mohlo vyloučit 30 % provedených CT vyšetření. Test </w:t>
      </w:r>
      <w:r w:rsidRPr="004E7438">
        <w:rPr>
          <w:lang w:val="cs-CZ"/>
        </w:rPr>
        <w:lastRenderedPageBreak/>
        <w:t>I</w:t>
      </w:r>
      <w:r w:rsidR="00AF2479">
        <w:rPr>
          <w:lang w:val="cs-CZ"/>
        </w:rPr>
        <w:noBreakHyphen/>
      </w:r>
      <w:r w:rsidRPr="004E7438">
        <w:rPr>
          <w:lang w:val="cs-CZ"/>
        </w:rPr>
        <w:t xml:space="preserve">STAT </w:t>
      </w:r>
      <w:proofErr w:type="spellStart"/>
      <w:r w:rsidRPr="004E7438">
        <w:rPr>
          <w:lang w:val="cs-CZ"/>
        </w:rPr>
        <w:t>Alinity</w:t>
      </w:r>
      <w:proofErr w:type="spellEnd"/>
      <w:r w:rsidRPr="004E7438">
        <w:rPr>
          <w:lang w:val="cs-CZ"/>
        </w:rPr>
        <w:t xml:space="preserve"> TBI prokázal podobný výkon bez statisticky významných rozdílů mezi dvěma platformami, což potvrzuje </w:t>
      </w:r>
      <w:r w:rsidR="009C00C2" w:rsidRPr="00061AC5">
        <w:rPr>
          <w:lang w:val="cs-CZ"/>
        </w:rPr>
        <w:t>dostatečnou míru shody napříč těmito platformam</w:t>
      </w:r>
      <w:r w:rsidR="0064726B" w:rsidRPr="00061AC5">
        <w:rPr>
          <w:lang w:val="cs-CZ"/>
        </w:rPr>
        <w:t>i</w:t>
      </w:r>
      <w:r w:rsidR="00C61D0F" w:rsidRPr="004E7438">
        <w:rPr>
          <w:vertAlign w:val="superscript"/>
          <w:lang w:val="cs-CZ"/>
        </w:rPr>
        <w:t>38</w:t>
      </w:r>
      <w:r w:rsidRPr="004E7438">
        <w:rPr>
          <w:lang w:val="cs-CZ"/>
        </w:rPr>
        <w:t xml:space="preserve">. </w:t>
      </w:r>
    </w:p>
    <w:p w14:paraId="70A83449" w14:textId="3AE74C74" w:rsidR="00002423" w:rsidRPr="004E7438" w:rsidRDefault="00002423" w:rsidP="00002423">
      <w:pPr>
        <w:rPr>
          <w:rFonts w:eastAsiaTheme="minorEastAsia"/>
          <w:lang w:val="cs-CZ"/>
        </w:rPr>
      </w:pPr>
      <w:r w:rsidRPr="004E7438">
        <w:rPr>
          <w:lang w:val="cs-CZ"/>
        </w:rPr>
        <w:t>Další studie</w:t>
      </w:r>
      <w:r w:rsidR="0070433E" w:rsidRPr="004E7438">
        <w:rPr>
          <w:lang w:val="cs-CZ"/>
        </w:rPr>
        <w:t xml:space="preserve"> autorů </w:t>
      </w:r>
      <w:proofErr w:type="spellStart"/>
      <w:r w:rsidRPr="004E7438">
        <w:rPr>
          <w:lang w:val="cs-CZ"/>
        </w:rPr>
        <w:t>Lapic</w:t>
      </w:r>
      <w:proofErr w:type="spellEnd"/>
      <w:r w:rsidRPr="004E7438">
        <w:rPr>
          <w:lang w:val="cs-CZ"/>
        </w:rPr>
        <w:t xml:space="preserve"> et al. (2024) hodnotila kohortu 62 </w:t>
      </w:r>
      <w:proofErr w:type="spellStart"/>
      <w:r w:rsidRPr="004E7438">
        <w:rPr>
          <w:lang w:val="cs-CZ"/>
        </w:rPr>
        <w:t>mTBI</w:t>
      </w:r>
      <w:proofErr w:type="spellEnd"/>
      <w:r w:rsidRPr="004E7438">
        <w:rPr>
          <w:lang w:val="cs-CZ"/>
        </w:rPr>
        <w:t xml:space="preserve"> pacientů přijatých na pohotovost Univerzitního nemocničního centra Záhřeb v Chorvatsku do 12 hodin od úrazu. Podobně jako v předchozích studiích podstoupili všichni tito pacienti CT vyšetření podle standardu péče</w:t>
      </w:r>
      <w:r w:rsidR="0070433E" w:rsidRPr="004E7438">
        <w:rPr>
          <w:lang w:val="cs-CZ"/>
        </w:rPr>
        <w:t xml:space="preserve"> toh</w:t>
      </w:r>
      <w:r w:rsidR="00E20B02">
        <w:rPr>
          <w:lang w:val="cs-CZ"/>
        </w:rPr>
        <w:t>o</w:t>
      </w:r>
      <w:r w:rsidR="0070433E" w:rsidRPr="004E7438">
        <w:rPr>
          <w:lang w:val="cs-CZ"/>
        </w:rPr>
        <w:t>to zařízení</w:t>
      </w:r>
      <w:r w:rsidRPr="004E7438">
        <w:rPr>
          <w:lang w:val="cs-CZ"/>
        </w:rPr>
        <w:t xml:space="preserve">, přičemž pouze u 7 z nich (11 %) byly zjištěny nějaké abnormality. Těmto pacientům byly odebrány vzorky krve, které měly být analyzovány na hladiny GFAP a UCH-L1 v testu </w:t>
      </w:r>
      <w:proofErr w:type="spellStart"/>
      <w:r w:rsidRPr="004E7438">
        <w:rPr>
          <w:lang w:val="cs-CZ"/>
        </w:rPr>
        <w:t>Alinity</w:t>
      </w:r>
      <w:proofErr w:type="spellEnd"/>
      <w:r w:rsidRPr="004E7438">
        <w:rPr>
          <w:lang w:val="cs-CZ"/>
        </w:rPr>
        <w:t xml:space="preserve"> i TBI. Výsledky ukázaly, že TBI test měl </w:t>
      </w:r>
      <w:proofErr w:type="gramStart"/>
      <w:r w:rsidRPr="004E7438">
        <w:rPr>
          <w:lang w:val="cs-CZ"/>
        </w:rPr>
        <w:t>100%</w:t>
      </w:r>
      <w:proofErr w:type="gramEnd"/>
      <w:r w:rsidRPr="004E7438">
        <w:rPr>
          <w:lang w:val="cs-CZ"/>
        </w:rPr>
        <w:t xml:space="preserve"> senzitivitu a 100% NPV vůči intrakraniálním lézím. Použití klinického testu mohlo vyloučit 31 % CT skenů (specificita</w:t>
      </w:r>
      <w:r w:rsidR="00E20B02">
        <w:rPr>
          <w:lang w:val="cs-CZ"/>
        </w:rPr>
        <w:t xml:space="preserve"> testu</w:t>
      </w:r>
      <w:r w:rsidRPr="004E7438">
        <w:rPr>
          <w:lang w:val="cs-CZ"/>
        </w:rPr>
        <w:t>) v této kohortě</w:t>
      </w:r>
      <w:r w:rsidR="00C61D0F" w:rsidRPr="004E7438">
        <w:rPr>
          <w:vertAlign w:val="superscript"/>
          <w:lang w:val="cs-CZ"/>
        </w:rPr>
        <w:t>39</w:t>
      </w:r>
      <w:r w:rsidRPr="004E7438">
        <w:rPr>
          <w:lang w:val="cs-CZ"/>
        </w:rPr>
        <w:t>.</w:t>
      </w:r>
    </w:p>
    <w:p w14:paraId="7FEAD40B" w14:textId="77777777" w:rsidR="00002423" w:rsidRPr="004E7438" w:rsidRDefault="00002423" w:rsidP="00002423">
      <w:pPr>
        <w:rPr>
          <w:lang w:val="cs-CZ"/>
        </w:rPr>
      </w:pPr>
    </w:p>
    <w:p w14:paraId="108EC0A5" w14:textId="1C31DC67" w:rsidR="00A6663B" w:rsidRPr="004E7438" w:rsidRDefault="0049059E" w:rsidP="001A5B4D">
      <w:pPr>
        <w:pStyle w:val="Nadpis1"/>
        <w:numPr>
          <w:ilvl w:val="0"/>
          <w:numId w:val="15"/>
        </w:numPr>
        <w:rPr>
          <w:b/>
          <w:bCs/>
          <w:lang w:val="cs-CZ"/>
        </w:rPr>
      </w:pPr>
      <w:bookmarkStart w:id="13" w:name="_Toc152598352"/>
      <w:bookmarkStart w:id="14" w:name="_Toc174350729"/>
      <w:r w:rsidRPr="004E7438">
        <w:rPr>
          <w:b/>
          <w:bCs/>
          <w:lang w:val="cs-CZ"/>
        </w:rPr>
        <w:t>Situace v České republice</w:t>
      </w:r>
      <w:bookmarkEnd w:id="13"/>
      <w:bookmarkEnd w:id="14"/>
    </w:p>
    <w:p w14:paraId="72B4C68C" w14:textId="77777777" w:rsidR="009901BB" w:rsidRPr="004E7438" w:rsidRDefault="009901BB" w:rsidP="009901BB">
      <w:pPr>
        <w:pStyle w:val="Odstavecseseznamem"/>
        <w:rPr>
          <w:lang w:val="cs-CZ"/>
        </w:rPr>
      </w:pPr>
    </w:p>
    <w:p w14:paraId="0C229954" w14:textId="484050FA" w:rsidR="00A6663B" w:rsidRPr="004E7438" w:rsidRDefault="00A6663B" w:rsidP="001A5B4D">
      <w:pPr>
        <w:pStyle w:val="Nadpis2"/>
        <w:numPr>
          <w:ilvl w:val="1"/>
          <w:numId w:val="15"/>
        </w:numPr>
        <w:rPr>
          <w:lang w:val="cs-CZ"/>
        </w:rPr>
      </w:pPr>
      <w:bookmarkStart w:id="15" w:name="_Toc174350730"/>
      <w:bookmarkStart w:id="16" w:name="_Toc152598353"/>
      <w:r w:rsidRPr="004E7438">
        <w:rPr>
          <w:lang w:val="cs-CZ"/>
        </w:rPr>
        <w:t xml:space="preserve">Aktuální odborná doporučení pro diagnostiku </w:t>
      </w:r>
      <w:proofErr w:type="spellStart"/>
      <w:r w:rsidRPr="004E7438">
        <w:rPr>
          <w:lang w:val="cs-CZ"/>
        </w:rPr>
        <w:t>mTBI</w:t>
      </w:r>
      <w:proofErr w:type="spellEnd"/>
      <w:r w:rsidRPr="004E7438">
        <w:rPr>
          <w:lang w:val="cs-CZ"/>
        </w:rPr>
        <w:t xml:space="preserve"> v České republice</w:t>
      </w:r>
      <w:bookmarkEnd w:id="15"/>
      <w:r w:rsidRPr="004E7438">
        <w:rPr>
          <w:lang w:val="cs-CZ"/>
        </w:rPr>
        <w:t xml:space="preserve"> </w:t>
      </w:r>
      <w:bookmarkEnd w:id="16"/>
    </w:p>
    <w:p w14:paraId="6F9C2DD2" w14:textId="566CCD1D" w:rsidR="00A6663B" w:rsidRPr="004E7438" w:rsidRDefault="00DC5488" w:rsidP="00A6663B">
      <w:pPr>
        <w:rPr>
          <w:sz w:val="14"/>
          <w:szCs w:val="14"/>
          <w:lang w:val="cs-CZ"/>
        </w:rPr>
      </w:pPr>
      <w:r w:rsidRPr="004E7438">
        <w:rPr>
          <w:lang w:val="cs-CZ"/>
        </w:rPr>
        <w:t xml:space="preserve">Česká neurologická společnost </w:t>
      </w:r>
      <w:r w:rsidR="0070433E" w:rsidRPr="004E7438">
        <w:rPr>
          <w:lang w:val="cs-CZ"/>
        </w:rPr>
        <w:t xml:space="preserve">ČLS JEP </w:t>
      </w:r>
      <w:r w:rsidRPr="004E7438">
        <w:rPr>
          <w:lang w:val="cs-CZ"/>
        </w:rPr>
        <w:t xml:space="preserve">vydala v roce 2018 konsensuální </w:t>
      </w:r>
      <w:r w:rsidR="0070433E" w:rsidRPr="004E7438">
        <w:rPr>
          <w:lang w:val="cs-CZ"/>
        </w:rPr>
        <w:t>odborné stanovisko</w:t>
      </w:r>
      <w:r w:rsidRPr="004E7438">
        <w:rPr>
          <w:lang w:val="cs-CZ"/>
        </w:rPr>
        <w:t>, kter</w:t>
      </w:r>
      <w:r w:rsidR="0070433E" w:rsidRPr="004E7438">
        <w:rPr>
          <w:lang w:val="cs-CZ"/>
        </w:rPr>
        <w:t xml:space="preserve">é </w:t>
      </w:r>
      <w:r w:rsidRPr="004E7438">
        <w:rPr>
          <w:lang w:val="cs-CZ"/>
        </w:rPr>
        <w:t xml:space="preserve">zpracovává návrh rozsahu základního vstupního neurologického vyšetření, uvádí rizikové faktory, pro které je indikováno CT vyšetření hlavy, a kritéria pro sledování během hospitalizace včetně sledovaných parametrů. Jsou </w:t>
      </w:r>
      <w:r w:rsidR="0070433E" w:rsidRPr="004E7438">
        <w:rPr>
          <w:lang w:val="cs-CZ"/>
        </w:rPr>
        <w:t>uvedena</w:t>
      </w:r>
      <w:r w:rsidRPr="004E7438">
        <w:rPr>
          <w:lang w:val="cs-CZ"/>
        </w:rPr>
        <w:t xml:space="preserve"> doporučení pro snížení chronických následků </w:t>
      </w:r>
      <w:proofErr w:type="spellStart"/>
      <w:r w:rsidRPr="004E7438">
        <w:rPr>
          <w:lang w:val="cs-CZ"/>
        </w:rPr>
        <w:t>mTBI</w:t>
      </w:r>
      <w:proofErr w:type="spellEnd"/>
      <w:r w:rsidRPr="004E7438">
        <w:rPr>
          <w:lang w:val="cs-CZ"/>
        </w:rPr>
        <w:t xml:space="preserve"> a algoritmus péče o pacienty s </w:t>
      </w:r>
      <w:proofErr w:type="spellStart"/>
      <w:r w:rsidRPr="004E7438">
        <w:rPr>
          <w:lang w:val="cs-CZ"/>
        </w:rPr>
        <w:t>mTBI</w:t>
      </w:r>
      <w:proofErr w:type="spellEnd"/>
      <w:r w:rsidRPr="004E7438">
        <w:rPr>
          <w:lang w:val="cs-CZ"/>
        </w:rPr>
        <w:t xml:space="preserve"> v České republice</w:t>
      </w:r>
      <w:r w:rsidR="00A6663B" w:rsidRPr="004E7438">
        <w:rPr>
          <w:vertAlign w:val="superscript"/>
          <w:lang w:val="cs-CZ"/>
        </w:rPr>
        <w:t>29</w:t>
      </w:r>
      <w:r w:rsidR="00A6663B" w:rsidRPr="004E7438">
        <w:rPr>
          <w:lang w:val="cs-CZ"/>
        </w:rPr>
        <w:t>.</w:t>
      </w:r>
    </w:p>
    <w:p w14:paraId="081E23E9" w14:textId="77777777" w:rsidR="0070433E" w:rsidRPr="004E7438" w:rsidRDefault="00A6663B" w:rsidP="00A6663B">
      <w:pPr>
        <w:rPr>
          <w:b/>
          <w:bCs/>
          <w:lang w:val="cs-CZ"/>
        </w:rPr>
      </w:pPr>
      <w:r w:rsidRPr="004E7438">
        <w:rPr>
          <w:sz w:val="14"/>
          <w:szCs w:val="14"/>
          <w:lang w:val="cs-CZ"/>
        </w:rPr>
        <w:t xml:space="preserve"> </w:t>
      </w:r>
      <w:r w:rsidRPr="004E7438">
        <w:rPr>
          <w:b/>
          <w:bCs/>
          <w:lang w:val="cs-CZ"/>
        </w:rPr>
        <w:t xml:space="preserve">Indikace k provedení CT mozku při mírném kraniocerebrálním traumatu (KCT) </w:t>
      </w:r>
    </w:p>
    <w:p w14:paraId="2D58A9C6" w14:textId="07545161" w:rsidR="00A6663B" w:rsidRPr="004E7438" w:rsidRDefault="00A6663B" w:rsidP="00A6663B">
      <w:pPr>
        <w:rPr>
          <w:lang w:val="cs-CZ"/>
        </w:rPr>
      </w:pPr>
      <w:r w:rsidRPr="004E7438">
        <w:rPr>
          <w:lang w:val="cs-CZ"/>
        </w:rPr>
        <w:t xml:space="preserve">U jakéhokoli mírného </w:t>
      </w:r>
      <w:r w:rsidR="0070433E" w:rsidRPr="004E7438">
        <w:rPr>
          <w:lang w:val="cs-CZ"/>
        </w:rPr>
        <w:t>K</w:t>
      </w:r>
      <w:r w:rsidRPr="004E7438">
        <w:rPr>
          <w:lang w:val="cs-CZ"/>
        </w:rPr>
        <w:t xml:space="preserve">CT (i bez průkazu </w:t>
      </w:r>
      <w:proofErr w:type="spellStart"/>
      <w:r w:rsidRPr="004E7438">
        <w:rPr>
          <w:lang w:val="cs-CZ"/>
        </w:rPr>
        <w:t>mTBI</w:t>
      </w:r>
      <w:proofErr w:type="spellEnd"/>
      <w:r w:rsidRPr="004E7438">
        <w:rPr>
          <w:lang w:val="cs-CZ"/>
        </w:rPr>
        <w:t>) za přítomnosti alespoň jednoho z následujících kritérií:</w:t>
      </w:r>
    </w:p>
    <w:p w14:paraId="2798FF36" w14:textId="77777777" w:rsidR="00A6663B" w:rsidRPr="004E7438" w:rsidRDefault="00A6663B" w:rsidP="00A6663B">
      <w:pPr>
        <w:pStyle w:val="Default"/>
        <w:numPr>
          <w:ilvl w:val="0"/>
          <w:numId w:val="1"/>
        </w:numPr>
        <w:rPr>
          <w:sz w:val="22"/>
          <w:szCs w:val="22"/>
          <w:lang w:val="cs-CZ"/>
        </w:rPr>
      </w:pPr>
      <w:r w:rsidRPr="004E7438">
        <w:rPr>
          <w:sz w:val="22"/>
          <w:szCs w:val="22"/>
          <w:lang w:val="cs-CZ"/>
        </w:rPr>
        <w:t xml:space="preserve">GCS </w:t>
      </w:r>
      <w:proofErr w:type="gramStart"/>
      <w:r w:rsidRPr="004E7438">
        <w:rPr>
          <w:sz w:val="22"/>
          <w:szCs w:val="22"/>
          <w:lang w:val="cs-CZ"/>
        </w:rPr>
        <w:t>&lt; 15</w:t>
      </w:r>
      <w:proofErr w:type="gramEnd"/>
      <w:r w:rsidRPr="004E7438">
        <w:rPr>
          <w:sz w:val="22"/>
          <w:szCs w:val="22"/>
          <w:lang w:val="cs-CZ"/>
        </w:rPr>
        <w:t xml:space="preserve"> při vyšetření 2 hodiny po traumatu</w:t>
      </w:r>
    </w:p>
    <w:p w14:paraId="2B94F71E" w14:textId="222175CE" w:rsidR="0070433E" w:rsidRPr="004E7438" w:rsidRDefault="00A6663B" w:rsidP="00A6663B">
      <w:pPr>
        <w:pStyle w:val="Default"/>
        <w:numPr>
          <w:ilvl w:val="0"/>
          <w:numId w:val="1"/>
        </w:numPr>
        <w:rPr>
          <w:sz w:val="22"/>
          <w:szCs w:val="22"/>
          <w:lang w:val="cs-CZ"/>
        </w:rPr>
      </w:pPr>
      <w:r w:rsidRPr="004E7438">
        <w:rPr>
          <w:sz w:val="22"/>
          <w:szCs w:val="22"/>
          <w:lang w:val="cs-CZ"/>
        </w:rPr>
        <w:t xml:space="preserve">podezření na </w:t>
      </w:r>
      <w:r w:rsidR="0070433E" w:rsidRPr="009A6AF7">
        <w:rPr>
          <w:sz w:val="22"/>
          <w:szCs w:val="22"/>
          <w:lang w:val="cs-CZ"/>
        </w:rPr>
        <w:t xml:space="preserve">frakturu </w:t>
      </w:r>
      <w:proofErr w:type="spellStart"/>
      <w:r w:rsidR="0070433E" w:rsidRPr="009A6AF7">
        <w:rPr>
          <w:sz w:val="22"/>
          <w:szCs w:val="22"/>
          <w:lang w:val="cs-CZ"/>
        </w:rPr>
        <w:t>lbi</w:t>
      </w:r>
      <w:proofErr w:type="spellEnd"/>
      <w:r w:rsidR="0070433E" w:rsidRPr="009A6AF7">
        <w:rPr>
          <w:sz w:val="22"/>
          <w:szCs w:val="22"/>
          <w:lang w:val="cs-CZ"/>
        </w:rPr>
        <w:t xml:space="preserve"> (penetrující a/nebo dislokovanou)</w:t>
      </w:r>
    </w:p>
    <w:p w14:paraId="1DCB08F4" w14:textId="7AC67A25" w:rsidR="00A6663B" w:rsidRPr="004E7438" w:rsidRDefault="00A6663B" w:rsidP="00A6663B">
      <w:pPr>
        <w:pStyle w:val="Default"/>
        <w:numPr>
          <w:ilvl w:val="0"/>
          <w:numId w:val="1"/>
        </w:numPr>
        <w:rPr>
          <w:sz w:val="22"/>
          <w:szCs w:val="22"/>
          <w:lang w:val="cs-CZ"/>
        </w:rPr>
      </w:pPr>
      <w:r w:rsidRPr="004E7438">
        <w:rPr>
          <w:sz w:val="22"/>
          <w:szCs w:val="22"/>
          <w:lang w:val="cs-CZ"/>
        </w:rPr>
        <w:t xml:space="preserve">příznaky svědčící pro zlomeninu </w:t>
      </w:r>
      <w:proofErr w:type="spellStart"/>
      <w:r w:rsidRPr="004E7438">
        <w:rPr>
          <w:sz w:val="22"/>
          <w:szCs w:val="22"/>
          <w:lang w:val="cs-CZ"/>
        </w:rPr>
        <w:t>baze</w:t>
      </w:r>
      <w:proofErr w:type="spellEnd"/>
      <w:r w:rsidRPr="004E7438">
        <w:rPr>
          <w:sz w:val="22"/>
          <w:szCs w:val="22"/>
          <w:lang w:val="cs-CZ"/>
        </w:rPr>
        <w:t xml:space="preserve"> lebeční*</w:t>
      </w:r>
    </w:p>
    <w:p w14:paraId="5ABF056E" w14:textId="77777777" w:rsidR="00A6663B" w:rsidRPr="004E7438" w:rsidRDefault="00A6663B" w:rsidP="00A6663B">
      <w:pPr>
        <w:pStyle w:val="Default"/>
        <w:numPr>
          <w:ilvl w:val="0"/>
          <w:numId w:val="1"/>
        </w:numPr>
        <w:rPr>
          <w:sz w:val="22"/>
          <w:szCs w:val="22"/>
          <w:lang w:val="cs-CZ"/>
        </w:rPr>
      </w:pPr>
      <w:r w:rsidRPr="004E7438">
        <w:rPr>
          <w:sz w:val="22"/>
          <w:szCs w:val="22"/>
          <w:lang w:val="cs-CZ"/>
        </w:rPr>
        <w:t>epileptický záchvat po traumatu (akutní symptomatický)</w:t>
      </w:r>
    </w:p>
    <w:p w14:paraId="57280D5F" w14:textId="22351DFE" w:rsidR="00A6663B" w:rsidRPr="004E7438" w:rsidRDefault="0070433E" w:rsidP="00A6663B">
      <w:pPr>
        <w:pStyle w:val="Default"/>
        <w:numPr>
          <w:ilvl w:val="0"/>
          <w:numId w:val="1"/>
        </w:numPr>
        <w:rPr>
          <w:sz w:val="22"/>
          <w:szCs w:val="22"/>
          <w:lang w:val="cs-CZ"/>
        </w:rPr>
      </w:pPr>
      <w:r w:rsidRPr="004E7438">
        <w:rPr>
          <w:lang w:val="cs-CZ"/>
        </w:rPr>
        <w:t>ložiskový</w:t>
      </w:r>
      <w:r w:rsidRPr="004E7438">
        <w:rPr>
          <w:sz w:val="22"/>
          <w:szCs w:val="22"/>
          <w:lang w:val="cs-CZ"/>
        </w:rPr>
        <w:t xml:space="preserve"> </w:t>
      </w:r>
      <w:r w:rsidR="00A6663B" w:rsidRPr="004E7438">
        <w:rPr>
          <w:sz w:val="22"/>
          <w:szCs w:val="22"/>
          <w:lang w:val="cs-CZ"/>
        </w:rPr>
        <w:t>neurologický nález (i přechodný)</w:t>
      </w:r>
    </w:p>
    <w:p w14:paraId="1C804E16" w14:textId="2C4EE0B9" w:rsidR="00A6663B" w:rsidRPr="004E7438" w:rsidRDefault="00A6663B" w:rsidP="00A6663B">
      <w:pPr>
        <w:pStyle w:val="Default"/>
        <w:numPr>
          <w:ilvl w:val="0"/>
          <w:numId w:val="1"/>
        </w:numPr>
        <w:rPr>
          <w:sz w:val="22"/>
          <w:szCs w:val="22"/>
          <w:lang w:val="cs-CZ"/>
        </w:rPr>
      </w:pPr>
      <w:r w:rsidRPr="004E7438">
        <w:rPr>
          <w:sz w:val="22"/>
          <w:szCs w:val="22"/>
          <w:lang w:val="cs-CZ"/>
        </w:rPr>
        <w:t>opakované zvracení (více než jedna epizoda)</w:t>
      </w:r>
    </w:p>
    <w:p w14:paraId="20C42960" w14:textId="77777777" w:rsidR="00A6663B" w:rsidRPr="004E7438" w:rsidRDefault="00A6663B" w:rsidP="00A6663B">
      <w:pPr>
        <w:pStyle w:val="Default"/>
        <w:rPr>
          <w:i/>
          <w:iCs/>
          <w:color w:val="auto"/>
          <w:sz w:val="22"/>
          <w:szCs w:val="22"/>
          <w:lang w:val="cs-CZ"/>
        </w:rPr>
      </w:pPr>
      <w:r w:rsidRPr="004E7438">
        <w:rPr>
          <w:i/>
          <w:iCs/>
          <w:color w:val="auto"/>
          <w:sz w:val="22"/>
          <w:szCs w:val="22"/>
          <w:lang w:val="cs-CZ"/>
        </w:rPr>
        <w:t xml:space="preserve">* Brýlový hematom, </w:t>
      </w:r>
      <w:proofErr w:type="spellStart"/>
      <w:r w:rsidRPr="004E7438">
        <w:rPr>
          <w:i/>
          <w:iCs/>
          <w:color w:val="auto"/>
          <w:sz w:val="22"/>
          <w:szCs w:val="22"/>
          <w:lang w:val="cs-CZ"/>
        </w:rPr>
        <w:t>hemotympan</w:t>
      </w:r>
      <w:proofErr w:type="spellEnd"/>
      <w:r w:rsidRPr="004E7438">
        <w:rPr>
          <w:i/>
          <w:iCs/>
          <w:color w:val="auto"/>
          <w:sz w:val="22"/>
          <w:szCs w:val="22"/>
          <w:lang w:val="cs-CZ"/>
        </w:rPr>
        <w:t xml:space="preserve">, rýma nebo </w:t>
      </w:r>
      <w:proofErr w:type="spellStart"/>
      <w:r w:rsidRPr="004E7438">
        <w:rPr>
          <w:i/>
          <w:iCs/>
          <w:color w:val="auto"/>
          <w:sz w:val="22"/>
          <w:szCs w:val="22"/>
          <w:lang w:val="cs-CZ"/>
        </w:rPr>
        <w:t>otorrhea</w:t>
      </w:r>
      <w:proofErr w:type="spellEnd"/>
      <w:r w:rsidRPr="004E7438">
        <w:rPr>
          <w:i/>
          <w:iCs/>
          <w:color w:val="auto"/>
          <w:sz w:val="22"/>
          <w:szCs w:val="22"/>
          <w:lang w:val="cs-CZ"/>
        </w:rPr>
        <w:t xml:space="preserve">, hematom/ekchymóza v </w:t>
      </w:r>
      <w:proofErr w:type="spellStart"/>
      <w:r w:rsidRPr="004E7438">
        <w:rPr>
          <w:i/>
          <w:iCs/>
          <w:color w:val="auto"/>
          <w:sz w:val="22"/>
          <w:szCs w:val="22"/>
          <w:lang w:val="cs-CZ"/>
        </w:rPr>
        <w:t>mastoidním</w:t>
      </w:r>
      <w:proofErr w:type="spellEnd"/>
      <w:r w:rsidRPr="004E7438">
        <w:rPr>
          <w:i/>
          <w:iCs/>
          <w:color w:val="auto"/>
          <w:sz w:val="22"/>
          <w:szCs w:val="22"/>
          <w:lang w:val="cs-CZ"/>
        </w:rPr>
        <w:t xml:space="preserve"> výběžku. </w:t>
      </w:r>
    </w:p>
    <w:p w14:paraId="1D7E51DC" w14:textId="77777777" w:rsidR="00A6663B" w:rsidRPr="004E7438" w:rsidRDefault="00A6663B" w:rsidP="00A6663B">
      <w:pPr>
        <w:pStyle w:val="Default"/>
        <w:rPr>
          <w:color w:val="auto"/>
          <w:sz w:val="22"/>
          <w:szCs w:val="22"/>
          <w:lang w:val="cs-CZ"/>
        </w:rPr>
      </w:pPr>
    </w:p>
    <w:p w14:paraId="014055EC" w14:textId="1D855668" w:rsidR="00A6663B" w:rsidRPr="004E7438" w:rsidRDefault="00A6663B" w:rsidP="00A6663B">
      <w:pPr>
        <w:pStyle w:val="Default"/>
        <w:rPr>
          <w:color w:val="auto"/>
          <w:sz w:val="22"/>
          <w:szCs w:val="22"/>
          <w:lang w:val="cs-CZ"/>
        </w:rPr>
      </w:pPr>
      <w:r w:rsidRPr="004E7438">
        <w:rPr>
          <w:color w:val="auto"/>
          <w:sz w:val="22"/>
          <w:szCs w:val="22"/>
          <w:lang w:val="cs-CZ"/>
        </w:rPr>
        <w:t xml:space="preserve">Kromě toho u </w:t>
      </w:r>
      <w:proofErr w:type="spellStart"/>
      <w:r w:rsidRPr="004E7438">
        <w:rPr>
          <w:color w:val="auto"/>
          <w:sz w:val="22"/>
          <w:szCs w:val="22"/>
          <w:lang w:val="cs-CZ"/>
        </w:rPr>
        <w:t>mTBI</w:t>
      </w:r>
      <w:proofErr w:type="spellEnd"/>
      <w:r w:rsidRPr="004E7438">
        <w:rPr>
          <w:color w:val="auto"/>
          <w:sz w:val="22"/>
          <w:szCs w:val="22"/>
          <w:lang w:val="cs-CZ"/>
        </w:rPr>
        <w:t xml:space="preserve"> (jakákoli porucha vědomí nebo amnézie), také v přítomnosti alespoň jednoho z následujících kritérií: </w:t>
      </w:r>
    </w:p>
    <w:p w14:paraId="1979D017" w14:textId="4249AA87" w:rsidR="00A6663B" w:rsidRPr="004E7438" w:rsidRDefault="00A6663B" w:rsidP="00A6663B">
      <w:pPr>
        <w:pStyle w:val="Default"/>
        <w:numPr>
          <w:ilvl w:val="0"/>
          <w:numId w:val="2"/>
        </w:numPr>
        <w:rPr>
          <w:color w:val="auto"/>
          <w:sz w:val="22"/>
          <w:szCs w:val="22"/>
          <w:lang w:val="cs-CZ"/>
        </w:rPr>
      </w:pPr>
      <w:r w:rsidRPr="004E7438">
        <w:rPr>
          <w:color w:val="auto"/>
          <w:sz w:val="22"/>
          <w:szCs w:val="22"/>
          <w:lang w:val="cs-CZ"/>
        </w:rPr>
        <w:t xml:space="preserve">antikoagulační nebo duální </w:t>
      </w:r>
      <w:proofErr w:type="spellStart"/>
      <w:r w:rsidR="0070433E" w:rsidRPr="004E7438">
        <w:rPr>
          <w:lang w:val="cs-CZ"/>
        </w:rPr>
        <w:t>antiagregační</w:t>
      </w:r>
      <w:proofErr w:type="spellEnd"/>
      <w:r w:rsidRPr="004E7438">
        <w:rPr>
          <w:color w:val="auto"/>
          <w:sz w:val="22"/>
          <w:szCs w:val="22"/>
          <w:lang w:val="cs-CZ"/>
        </w:rPr>
        <w:t xml:space="preserve"> léčba nebo známá porucha srážlivosti krve</w:t>
      </w:r>
    </w:p>
    <w:p w14:paraId="34824958" w14:textId="46975654" w:rsidR="00A6663B" w:rsidRPr="004E7438" w:rsidRDefault="0070433E" w:rsidP="00A6663B">
      <w:pPr>
        <w:pStyle w:val="Default"/>
        <w:numPr>
          <w:ilvl w:val="0"/>
          <w:numId w:val="2"/>
        </w:numPr>
        <w:rPr>
          <w:color w:val="auto"/>
          <w:sz w:val="22"/>
          <w:szCs w:val="22"/>
          <w:lang w:val="cs-CZ"/>
        </w:rPr>
      </w:pPr>
      <w:r w:rsidRPr="004E7438">
        <w:rPr>
          <w:color w:val="auto"/>
          <w:sz w:val="22"/>
          <w:szCs w:val="22"/>
          <w:lang w:val="cs-CZ"/>
        </w:rPr>
        <w:t>v</w:t>
      </w:r>
      <w:r w:rsidR="00A6663B" w:rsidRPr="004E7438">
        <w:rPr>
          <w:color w:val="auto"/>
          <w:sz w:val="22"/>
          <w:szCs w:val="22"/>
          <w:lang w:val="cs-CZ"/>
        </w:rPr>
        <w:t>ěk 65 let a více</w:t>
      </w:r>
    </w:p>
    <w:p w14:paraId="355D6925" w14:textId="0AA1F23C" w:rsidR="00A6663B" w:rsidRPr="004E7438" w:rsidRDefault="0070433E" w:rsidP="00A6663B">
      <w:pPr>
        <w:pStyle w:val="Default"/>
        <w:numPr>
          <w:ilvl w:val="0"/>
          <w:numId w:val="2"/>
        </w:numPr>
        <w:rPr>
          <w:color w:val="auto"/>
          <w:sz w:val="22"/>
          <w:szCs w:val="22"/>
          <w:lang w:val="cs-CZ"/>
        </w:rPr>
      </w:pPr>
      <w:r w:rsidRPr="004E7438">
        <w:rPr>
          <w:color w:val="auto"/>
          <w:sz w:val="22"/>
          <w:szCs w:val="22"/>
          <w:lang w:val="cs-CZ"/>
        </w:rPr>
        <w:t>n</w:t>
      </w:r>
      <w:r w:rsidR="00A6663B" w:rsidRPr="004E7438">
        <w:rPr>
          <w:color w:val="auto"/>
          <w:sz w:val="22"/>
          <w:szCs w:val="22"/>
          <w:lang w:val="cs-CZ"/>
        </w:rPr>
        <w:t>ebezpečný mechanismus poranění</w:t>
      </w:r>
    </w:p>
    <w:p w14:paraId="03DB0235" w14:textId="01D6A3AB" w:rsidR="00EA74E5" w:rsidRPr="004E7438" w:rsidRDefault="00A6663B" w:rsidP="009901BB">
      <w:pPr>
        <w:pStyle w:val="Default"/>
        <w:numPr>
          <w:ilvl w:val="0"/>
          <w:numId w:val="2"/>
        </w:numPr>
        <w:rPr>
          <w:color w:val="auto"/>
          <w:sz w:val="22"/>
          <w:szCs w:val="22"/>
          <w:lang w:val="cs-CZ"/>
        </w:rPr>
      </w:pPr>
      <w:r w:rsidRPr="004E7438">
        <w:rPr>
          <w:color w:val="auto"/>
          <w:sz w:val="22"/>
          <w:szCs w:val="22"/>
          <w:lang w:val="cs-CZ"/>
        </w:rPr>
        <w:t xml:space="preserve">retrográdní amnézie po dobu delší než 30 minut bezprostředně před traumatem nebo přetrvávající anterográdní amnézie </w:t>
      </w:r>
    </w:p>
    <w:p w14:paraId="79C793E2" w14:textId="77777777" w:rsidR="001529AD" w:rsidRPr="004E7438" w:rsidRDefault="001529AD" w:rsidP="001529AD">
      <w:pPr>
        <w:pStyle w:val="Default"/>
        <w:ind w:left="720"/>
        <w:rPr>
          <w:color w:val="auto"/>
          <w:sz w:val="22"/>
          <w:szCs w:val="22"/>
          <w:lang w:val="cs-CZ"/>
        </w:rPr>
      </w:pPr>
    </w:p>
    <w:p w14:paraId="36696960" w14:textId="77777777" w:rsidR="00EA74E5" w:rsidRPr="004E7438" w:rsidRDefault="00EA74E5" w:rsidP="00EA74E5">
      <w:pPr>
        <w:pStyle w:val="Default"/>
        <w:ind w:left="360"/>
        <w:rPr>
          <w:color w:val="auto"/>
          <w:sz w:val="22"/>
          <w:szCs w:val="22"/>
          <w:lang w:val="cs-CZ"/>
        </w:rPr>
      </w:pPr>
    </w:p>
    <w:p w14:paraId="1A8B843B" w14:textId="2DFF7898" w:rsidR="00E454BD" w:rsidRPr="004E7438" w:rsidRDefault="0070433E" w:rsidP="00EA74E5">
      <w:pPr>
        <w:pStyle w:val="Default"/>
        <w:ind w:left="720"/>
        <w:rPr>
          <w:color w:val="auto"/>
          <w:sz w:val="22"/>
          <w:szCs w:val="22"/>
          <w:lang w:val="cs-CZ"/>
        </w:rPr>
      </w:pPr>
      <w:bookmarkStart w:id="17" w:name="_Toc152598354"/>
      <w:bookmarkStart w:id="18" w:name="_Toc174350731"/>
      <w:r w:rsidRPr="004E7438">
        <w:rPr>
          <w:rStyle w:val="Nadpis2Char"/>
          <w:lang w:val="cs-CZ"/>
        </w:rPr>
        <w:t>3</w:t>
      </w:r>
      <w:r w:rsidR="00E454BD" w:rsidRPr="004E7438">
        <w:rPr>
          <w:rStyle w:val="Nadpis2Char"/>
          <w:lang w:val="cs-CZ"/>
        </w:rPr>
        <w:t>.2 Dostupnost CT přístrojového vybavení v České republice</w:t>
      </w:r>
      <w:bookmarkEnd w:id="17"/>
      <w:bookmarkEnd w:id="18"/>
    </w:p>
    <w:p w14:paraId="35E090D1" w14:textId="3DDCA31D" w:rsidR="009C37A8" w:rsidRPr="004E7438" w:rsidRDefault="009C37A8" w:rsidP="009C37A8">
      <w:pPr>
        <w:rPr>
          <w:lang w:val="cs-CZ"/>
        </w:rPr>
      </w:pPr>
      <w:r w:rsidRPr="004E7438">
        <w:rPr>
          <w:lang w:val="cs-CZ"/>
        </w:rPr>
        <w:t xml:space="preserve">Ve srovnání mezi kraji je dostupnost zdravotnického vybavení významně ovlivněna spádovou oblastí a koncentrací poskytovatelů zdravotní péče v některých regionech. Středočeský, Pardubický, Vysočina a Zlínský kraj měly na konci roku 2021 nejnižší dostupnost CT přístrojů v počtu </w:t>
      </w:r>
      <w:r w:rsidR="0070433E" w:rsidRPr="004E7438">
        <w:rPr>
          <w:lang w:val="cs-CZ"/>
        </w:rPr>
        <w:t xml:space="preserve">nad </w:t>
      </w:r>
      <w:r w:rsidRPr="004E7438">
        <w:rPr>
          <w:lang w:val="cs-CZ"/>
        </w:rPr>
        <w:t xml:space="preserve">80 tisíc obyvatel na </w:t>
      </w:r>
      <w:r w:rsidRPr="004E7438">
        <w:rPr>
          <w:lang w:val="cs-CZ"/>
        </w:rPr>
        <w:lastRenderedPageBreak/>
        <w:t xml:space="preserve">jeden </w:t>
      </w:r>
      <w:r w:rsidR="0070433E" w:rsidRPr="004E7438">
        <w:rPr>
          <w:lang w:val="cs-CZ"/>
        </w:rPr>
        <w:t>pří</w:t>
      </w:r>
      <w:r w:rsidRPr="004E7438">
        <w:rPr>
          <w:lang w:val="cs-CZ"/>
        </w:rPr>
        <w:t>stroj. V případě MR tomografů byl počet 140 000 obyvatel na jedno zařízení překročen pouze ve Středočeském a Karlovarském kraji</w:t>
      </w:r>
      <w:r w:rsidR="0070433E" w:rsidRPr="004E7438">
        <w:rPr>
          <w:lang w:val="cs-CZ"/>
        </w:rPr>
        <w:t>, Dostupnost zdravotnické techniky je ve srovnání jednotlivých krajů výrazně ovlivněna také díky spádovosti a koncentraci poskytovatelů zdravotní péče v některých krajích</w:t>
      </w:r>
      <w:r w:rsidRPr="004E7438">
        <w:rPr>
          <w:lang w:val="cs-CZ"/>
        </w:rPr>
        <w:t xml:space="preserve"> </w:t>
      </w:r>
      <w:r w:rsidR="006024C2" w:rsidRPr="004E7438">
        <w:rPr>
          <w:vertAlign w:val="superscript"/>
          <w:lang w:val="cs-CZ"/>
        </w:rPr>
        <w:t>32</w:t>
      </w:r>
    </w:p>
    <w:p w14:paraId="1092D6C5" w14:textId="301BC6B1" w:rsidR="0004766D" w:rsidRPr="004E7438" w:rsidRDefault="001529AD" w:rsidP="00E454BD">
      <w:pPr>
        <w:rPr>
          <w:lang w:val="cs-CZ"/>
        </w:rPr>
      </w:pPr>
      <w:r w:rsidRPr="004E7438">
        <w:rPr>
          <w:lang w:val="cs-CZ"/>
        </w:rPr>
        <w:t>Meziročně se počet CT vyšetření zvyšuje – např. v nemocnici Havlíčkův Brod bylo hlášeno</w:t>
      </w:r>
      <w:r w:rsidRPr="004E7438">
        <w:rPr>
          <w:vertAlign w:val="superscript"/>
          <w:lang w:val="cs-CZ"/>
        </w:rPr>
        <w:t>31</w:t>
      </w:r>
      <w:r w:rsidRPr="004E7438">
        <w:rPr>
          <w:lang w:val="cs-CZ"/>
        </w:rPr>
        <w:t xml:space="preserve">: </w:t>
      </w:r>
    </w:p>
    <w:p w14:paraId="499E1330" w14:textId="1C7038B2" w:rsidR="0004766D" w:rsidRPr="004E7438" w:rsidRDefault="001A7EAF" w:rsidP="0004766D">
      <w:pPr>
        <w:pStyle w:val="Odstavecseseznamem"/>
        <w:numPr>
          <w:ilvl w:val="0"/>
          <w:numId w:val="9"/>
        </w:numPr>
        <w:rPr>
          <w:lang w:val="cs-CZ"/>
        </w:rPr>
      </w:pPr>
      <w:r w:rsidRPr="004E7438">
        <w:rPr>
          <w:lang w:val="cs-CZ"/>
        </w:rPr>
        <w:t>v roce 2021 – 11 821 vyšetření</w:t>
      </w:r>
    </w:p>
    <w:p w14:paraId="0C2E405C" w14:textId="25C11076" w:rsidR="007E3B02" w:rsidRPr="008F17D2" w:rsidRDefault="001A7EAF" w:rsidP="008F17D2">
      <w:pPr>
        <w:pStyle w:val="Odstavecseseznamem"/>
        <w:numPr>
          <w:ilvl w:val="0"/>
          <w:numId w:val="9"/>
        </w:numPr>
        <w:rPr>
          <w:lang w:val="cs-CZ"/>
        </w:rPr>
      </w:pPr>
      <w:r w:rsidRPr="004E7438">
        <w:rPr>
          <w:lang w:val="cs-CZ"/>
        </w:rPr>
        <w:t>v roce 2022 – 13 000 vyšetření</w:t>
      </w:r>
    </w:p>
    <w:p w14:paraId="5BC95ADC" w14:textId="77777777" w:rsidR="00E454BD" w:rsidRPr="004E7438" w:rsidRDefault="00E454BD" w:rsidP="00E454BD">
      <w:pPr>
        <w:pStyle w:val="Default"/>
        <w:rPr>
          <w:color w:val="auto"/>
          <w:sz w:val="22"/>
          <w:szCs w:val="22"/>
          <w:lang w:val="cs-CZ"/>
        </w:rPr>
      </w:pPr>
    </w:p>
    <w:p w14:paraId="3EB4EB41" w14:textId="7871DC55" w:rsidR="00B92E67" w:rsidRPr="004E7438" w:rsidRDefault="005B59BF" w:rsidP="001A5B4D">
      <w:pPr>
        <w:pStyle w:val="Nadpis1"/>
        <w:numPr>
          <w:ilvl w:val="0"/>
          <w:numId w:val="15"/>
        </w:numPr>
        <w:rPr>
          <w:b/>
          <w:bCs/>
          <w:lang w:val="cs-CZ"/>
        </w:rPr>
      </w:pPr>
      <w:bookmarkStart w:id="19" w:name="_Toc152598355"/>
      <w:bookmarkStart w:id="20" w:name="_Toc174350732"/>
      <w:r w:rsidRPr="004E7438">
        <w:rPr>
          <w:b/>
          <w:bCs/>
          <w:lang w:val="cs-CZ"/>
        </w:rPr>
        <w:t>Situace ve světě</w:t>
      </w:r>
      <w:bookmarkEnd w:id="19"/>
      <w:bookmarkEnd w:id="20"/>
    </w:p>
    <w:p w14:paraId="44E5317A" w14:textId="77777777" w:rsidR="005B59BF" w:rsidRPr="004E7438" w:rsidRDefault="005B59BF" w:rsidP="005B59BF">
      <w:pPr>
        <w:rPr>
          <w:lang w:val="cs-CZ"/>
        </w:rPr>
      </w:pPr>
    </w:p>
    <w:p w14:paraId="38107C81" w14:textId="532C20A4" w:rsidR="003D0D73" w:rsidRPr="004E7438" w:rsidRDefault="0070433E" w:rsidP="003D0D73">
      <w:pPr>
        <w:rPr>
          <w:lang w:val="cs-CZ"/>
        </w:rPr>
      </w:pPr>
      <w:r w:rsidRPr="004E7438">
        <w:rPr>
          <w:lang w:val="cs-CZ"/>
        </w:rPr>
        <w:t>Již n</w:t>
      </w:r>
      <w:r w:rsidR="003D0D73" w:rsidRPr="004E7438">
        <w:rPr>
          <w:lang w:val="cs-CZ"/>
        </w:rPr>
        <w:t xml:space="preserve">ěkolik národních vědeckých společností a výborů pro doporučené postupy zahrnulo doporučení pro použití krevního testu </w:t>
      </w:r>
      <w:r w:rsidR="003D0D73" w:rsidRPr="00275F2F">
        <w:rPr>
          <w:i/>
          <w:iCs/>
          <w:lang w:val="cs-CZ"/>
        </w:rPr>
        <w:t>GFAP</w:t>
      </w:r>
      <w:r w:rsidR="003D0D73" w:rsidRPr="004E7438">
        <w:rPr>
          <w:lang w:val="cs-CZ"/>
        </w:rPr>
        <w:t xml:space="preserve"> a </w:t>
      </w:r>
      <w:r w:rsidR="003D0D73" w:rsidRPr="00275F2F">
        <w:rPr>
          <w:i/>
          <w:iCs/>
          <w:lang w:val="cs-CZ"/>
        </w:rPr>
        <w:t>UCH-L1</w:t>
      </w:r>
      <w:r w:rsidR="003D0D73" w:rsidRPr="004E7438">
        <w:rPr>
          <w:lang w:val="cs-CZ"/>
        </w:rPr>
        <w:t xml:space="preserve"> TBI od jeho schválení regulačními orgány a zavedení do klinické praxe v roce 2021. </w:t>
      </w:r>
    </w:p>
    <w:p w14:paraId="6B8525B9" w14:textId="53F7D900" w:rsidR="003D0D73" w:rsidRPr="004E7438" w:rsidRDefault="0070433E" w:rsidP="003D0D73">
      <w:pPr>
        <w:rPr>
          <w:lang w:val="cs-CZ"/>
        </w:rPr>
      </w:pPr>
      <w:r w:rsidRPr="004E7438">
        <w:rPr>
          <w:lang w:val="cs-CZ"/>
        </w:rPr>
        <w:t xml:space="preserve">V </w:t>
      </w:r>
      <w:r w:rsidR="003D0D73" w:rsidRPr="004E7438">
        <w:rPr>
          <w:lang w:val="cs-CZ"/>
        </w:rPr>
        <w:t xml:space="preserve">roce 2022 </w:t>
      </w:r>
      <w:r w:rsidR="003D0D73" w:rsidRPr="004E7438">
        <w:rPr>
          <w:b/>
          <w:bCs/>
          <w:lang w:val="cs-CZ"/>
        </w:rPr>
        <w:t>Francouzská</w:t>
      </w:r>
      <w:r w:rsidR="003D0D73" w:rsidRPr="004E7438">
        <w:rPr>
          <w:lang w:val="cs-CZ"/>
        </w:rPr>
        <w:t xml:space="preserve"> </w:t>
      </w:r>
      <w:r w:rsidR="003D0D73" w:rsidRPr="004E7438">
        <w:rPr>
          <w:b/>
          <w:bCs/>
          <w:lang w:val="cs-CZ"/>
        </w:rPr>
        <w:t>společnost pro urgentní medicínu</w:t>
      </w:r>
      <w:r w:rsidR="003D0D73" w:rsidRPr="004E7438">
        <w:rPr>
          <w:lang w:val="cs-CZ"/>
        </w:rPr>
        <w:t xml:space="preserve"> (</w:t>
      </w:r>
      <w:proofErr w:type="spellStart"/>
      <w:r w:rsidR="003D0D73" w:rsidRPr="004E7438">
        <w:rPr>
          <w:lang w:val="cs-CZ"/>
        </w:rPr>
        <w:t>Société</w:t>
      </w:r>
      <w:proofErr w:type="spellEnd"/>
      <w:r w:rsidR="003D0D73" w:rsidRPr="004E7438">
        <w:rPr>
          <w:lang w:val="cs-CZ"/>
        </w:rPr>
        <w:t xml:space="preserve"> </w:t>
      </w:r>
      <w:proofErr w:type="spellStart"/>
      <w:r w:rsidR="003D0D73" w:rsidRPr="004E7438">
        <w:rPr>
          <w:lang w:val="cs-CZ"/>
        </w:rPr>
        <w:t>Française</w:t>
      </w:r>
      <w:proofErr w:type="spellEnd"/>
      <w:r w:rsidR="003D0D73" w:rsidRPr="004E7438">
        <w:rPr>
          <w:lang w:val="cs-CZ"/>
        </w:rPr>
        <w:t xml:space="preserve"> de </w:t>
      </w:r>
      <w:proofErr w:type="spellStart"/>
      <w:r w:rsidR="003D0D73" w:rsidRPr="004E7438">
        <w:rPr>
          <w:lang w:val="cs-CZ"/>
        </w:rPr>
        <w:t>M</w:t>
      </w:r>
      <w:r w:rsidR="003D0D73" w:rsidRPr="004E7438">
        <w:rPr>
          <w:rFonts w:cstheme="minorHAnsi"/>
          <w:lang w:val="cs-CZ"/>
        </w:rPr>
        <w:t>édecine</w:t>
      </w:r>
      <w:proofErr w:type="spellEnd"/>
      <w:r w:rsidR="003D0D73" w:rsidRPr="004E7438">
        <w:rPr>
          <w:rFonts w:cstheme="minorHAnsi"/>
          <w:lang w:val="cs-CZ"/>
        </w:rPr>
        <w:t xml:space="preserve"> </w:t>
      </w:r>
      <w:proofErr w:type="spellStart"/>
      <w:r w:rsidR="003D0D73" w:rsidRPr="004E7438">
        <w:rPr>
          <w:lang w:val="cs-CZ"/>
        </w:rPr>
        <w:t>d'Urgence</w:t>
      </w:r>
      <w:proofErr w:type="spellEnd"/>
      <w:r w:rsidR="003D0D73" w:rsidRPr="004E7438">
        <w:rPr>
          <w:lang w:val="cs-CZ"/>
        </w:rPr>
        <w:t xml:space="preserve">, SFMU) ve spolupráci se </w:t>
      </w:r>
      <w:proofErr w:type="spellStart"/>
      <w:r w:rsidR="003D0D73" w:rsidRPr="004E7438">
        <w:rPr>
          <w:lang w:val="cs-CZ"/>
        </w:rPr>
        <w:t>Soci</w:t>
      </w:r>
      <w:r w:rsidR="003D0D73" w:rsidRPr="004E7438">
        <w:rPr>
          <w:rFonts w:cstheme="minorHAnsi"/>
          <w:lang w:val="cs-CZ"/>
        </w:rPr>
        <w:t>été</w:t>
      </w:r>
      <w:proofErr w:type="spellEnd"/>
      <w:r w:rsidR="003D0D73" w:rsidRPr="004E7438">
        <w:rPr>
          <w:rFonts w:cstheme="minorHAnsi"/>
          <w:lang w:val="cs-CZ"/>
        </w:rPr>
        <w:t xml:space="preserve"> </w:t>
      </w:r>
      <w:proofErr w:type="spellStart"/>
      <w:r w:rsidR="003D0D73" w:rsidRPr="004E7438">
        <w:rPr>
          <w:lang w:val="cs-CZ"/>
        </w:rPr>
        <w:t>Française</w:t>
      </w:r>
      <w:proofErr w:type="spellEnd"/>
      <w:r w:rsidR="003D0D73" w:rsidRPr="004E7438">
        <w:rPr>
          <w:lang w:val="cs-CZ"/>
        </w:rPr>
        <w:t xml:space="preserve"> </w:t>
      </w:r>
      <w:proofErr w:type="spellStart"/>
      <w:r w:rsidR="003D0D73" w:rsidRPr="004E7438">
        <w:rPr>
          <w:lang w:val="cs-CZ"/>
        </w:rPr>
        <w:t>d'Anesth</w:t>
      </w:r>
      <w:r w:rsidR="003D0D73" w:rsidRPr="004E7438">
        <w:rPr>
          <w:rFonts w:cstheme="minorHAnsi"/>
          <w:lang w:val="cs-CZ"/>
        </w:rPr>
        <w:t>ésie</w:t>
      </w:r>
      <w:proofErr w:type="spellEnd"/>
      <w:r w:rsidR="003D0D73" w:rsidRPr="004E7438">
        <w:rPr>
          <w:lang w:val="cs-CZ"/>
        </w:rPr>
        <w:t xml:space="preserve"> et </w:t>
      </w:r>
      <w:proofErr w:type="spellStart"/>
      <w:r w:rsidR="003D0D73" w:rsidRPr="004E7438">
        <w:rPr>
          <w:lang w:val="cs-CZ"/>
        </w:rPr>
        <w:t>R</w:t>
      </w:r>
      <w:r w:rsidR="003D0D73" w:rsidRPr="004E7438">
        <w:rPr>
          <w:rFonts w:cstheme="minorHAnsi"/>
          <w:lang w:val="cs-CZ"/>
        </w:rPr>
        <w:t>éanimation</w:t>
      </w:r>
      <w:proofErr w:type="spellEnd"/>
      <w:r w:rsidR="003D0D73" w:rsidRPr="004E7438">
        <w:rPr>
          <w:lang w:val="cs-CZ"/>
        </w:rPr>
        <w:t xml:space="preserve"> (SFAR), za účasti </w:t>
      </w:r>
      <w:proofErr w:type="spellStart"/>
      <w:r w:rsidR="003D0D73" w:rsidRPr="004E7438">
        <w:rPr>
          <w:lang w:val="cs-CZ"/>
        </w:rPr>
        <w:t>Société</w:t>
      </w:r>
      <w:proofErr w:type="spellEnd"/>
      <w:r w:rsidR="003D0D73" w:rsidRPr="004E7438">
        <w:rPr>
          <w:lang w:val="cs-CZ"/>
        </w:rPr>
        <w:t xml:space="preserve"> </w:t>
      </w:r>
      <w:proofErr w:type="spellStart"/>
      <w:r w:rsidR="003D0D73" w:rsidRPr="004E7438">
        <w:rPr>
          <w:lang w:val="cs-CZ"/>
        </w:rPr>
        <w:t>Française</w:t>
      </w:r>
      <w:proofErr w:type="spellEnd"/>
      <w:r w:rsidR="003D0D73" w:rsidRPr="004E7438">
        <w:rPr>
          <w:lang w:val="cs-CZ"/>
        </w:rPr>
        <w:t xml:space="preserve"> de Biologie </w:t>
      </w:r>
      <w:proofErr w:type="spellStart"/>
      <w:r w:rsidR="003D0D73" w:rsidRPr="004E7438">
        <w:rPr>
          <w:lang w:val="cs-CZ"/>
        </w:rPr>
        <w:t>Clinique</w:t>
      </w:r>
      <w:proofErr w:type="spellEnd"/>
      <w:r w:rsidR="003D0D73" w:rsidRPr="004E7438">
        <w:rPr>
          <w:lang w:val="cs-CZ"/>
        </w:rPr>
        <w:t xml:space="preserve"> (SFBC), </w:t>
      </w:r>
      <w:proofErr w:type="spellStart"/>
      <w:r w:rsidR="003D0D73" w:rsidRPr="004E7438">
        <w:rPr>
          <w:lang w:val="cs-CZ"/>
        </w:rPr>
        <w:t>Soci</w:t>
      </w:r>
      <w:r w:rsidR="003D0D73" w:rsidRPr="004E7438">
        <w:rPr>
          <w:rFonts w:cstheme="minorHAnsi"/>
          <w:lang w:val="cs-CZ"/>
        </w:rPr>
        <w:t>été</w:t>
      </w:r>
      <w:proofErr w:type="spellEnd"/>
      <w:r w:rsidR="003D0D73" w:rsidRPr="004E7438">
        <w:rPr>
          <w:rFonts w:cstheme="minorHAnsi"/>
          <w:lang w:val="cs-CZ"/>
        </w:rPr>
        <w:t xml:space="preserve"> </w:t>
      </w:r>
      <w:proofErr w:type="spellStart"/>
      <w:r w:rsidR="003D0D73" w:rsidRPr="004E7438">
        <w:rPr>
          <w:lang w:val="cs-CZ"/>
        </w:rPr>
        <w:t>Française</w:t>
      </w:r>
      <w:proofErr w:type="spellEnd"/>
      <w:r w:rsidR="003D0D73" w:rsidRPr="004E7438">
        <w:rPr>
          <w:lang w:val="cs-CZ"/>
        </w:rPr>
        <w:t xml:space="preserve"> de Radiologie (SFR) a </w:t>
      </w:r>
      <w:proofErr w:type="spellStart"/>
      <w:r w:rsidR="003D0D73" w:rsidRPr="004E7438">
        <w:rPr>
          <w:lang w:val="cs-CZ"/>
        </w:rPr>
        <w:t>Soci</w:t>
      </w:r>
      <w:r w:rsidR="003D0D73" w:rsidRPr="004E7438">
        <w:rPr>
          <w:rFonts w:cstheme="minorHAnsi"/>
          <w:lang w:val="cs-CZ"/>
        </w:rPr>
        <w:t>été</w:t>
      </w:r>
      <w:proofErr w:type="spellEnd"/>
      <w:r w:rsidR="003D0D73" w:rsidRPr="004E7438">
        <w:rPr>
          <w:rFonts w:cstheme="minorHAnsi"/>
          <w:lang w:val="cs-CZ"/>
        </w:rPr>
        <w:t xml:space="preserve"> </w:t>
      </w:r>
      <w:proofErr w:type="spellStart"/>
      <w:r w:rsidR="003D0D73" w:rsidRPr="004E7438">
        <w:rPr>
          <w:lang w:val="cs-CZ"/>
        </w:rPr>
        <w:t>Française</w:t>
      </w:r>
      <w:proofErr w:type="spellEnd"/>
      <w:r w:rsidR="003D0D73" w:rsidRPr="004E7438">
        <w:rPr>
          <w:lang w:val="cs-CZ"/>
        </w:rPr>
        <w:t xml:space="preserve"> de </w:t>
      </w:r>
      <w:proofErr w:type="spellStart"/>
      <w:r w:rsidR="003D0D73" w:rsidRPr="004E7438">
        <w:rPr>
          <w:lang w:val="cs-CZ"/>
        </w:rPr>
        <w:t>M</w:t>
      </w:r>
      <w:r w:rsidR="003D0D73" w:rsidRPr="004E7438">
        <w:rPr>
          <w:rFonts w:cstheme="minorHAnsi"/>
          <w:lang w:val="cs-CZ"/>
        </w:rPr>
        <w:t>édecine</w:t>
      </w:r>
      <w:proofErr w:type="spellEnd"/>
      <w:r w:rsidR="003D0D73" w:rsidRPr="004E7438">
        <w:rPr>
          <w:lang w:val="cs-CZ"/>
        </w:rPr>
        <w:t xml:space="preserve"> </w:t>
      </w:r>
      <w:proofErr w:type="spellStart"/>
      <w:r w:rsidR="003D0D73" w:rsidRPr="004E7438">
        <w:rPr>
          <w:lang w:val="cs-CZ"/>
        </w:rPr>
        <w:t>Physique</w:t>
      </w:r>
      <w:proofErr w:type="spellEnd"/>
      <w:r w:rsidR="003D0D73" w:rsidRPr="004E7438">
        <w:rPr>
          <w:lang w:val="cs-CZ"/>
        </w:rPr>
        <w:t xml:space="preserve"> et </w:t>
      </w:r>
      <w:proofErr w:type="spellStart"/>
      <w:r w:rsidR="003D0D73" w:rsidRPr="004E7438">
        <w:rPr>
          <w:lang w:val="cs-CZ"/>
        </w:rPr>
        <w:t>R</w:t>
      </w:r>
      <w:r w:rsidR="003D0D73" w:rsidRPr="004E7438">
        <w:rPr>
          <w:rFonts w:cstheme="minorHAnsi"/>
          <w:lang w:val="cs-CZ"/>
        </w:rPr>
        <w:t>éadaptation</w:t>
      </w:r>
      <w:proofErr w:type="spellEnd"/>
      <w:r w:rsidR="003D0D73" w:rsidRPr="004E7438">
        <w:rPr>
          <w:lang w:val="cs-CZ"/>
        </w:rPr>
        <w:t xml:space="preserve"> (SOFMER) publikoval</w:t>
      </w:r>
      <w:r w:rsidRPr="004E7438">
        <w:rPr>
          <w:lang w:val="cs-CZ"/>
        </w:rPr>
        <w:t>a</w:t>
      </w:r>
      <w:r w:rsidR="003D0D73" w:rsidRPr="004E7438">
        <w:rPr>
          <w:lang w:val="cs-CZ"/>
        </w:rPr>
        <w:t xml:space="preserve"> nová doporučení pro odbornou praxi pro péči o pacienty s lehkým traumatickým poraněním mozku (Gil-</w:t>
      </w:r>
      <w:proofErr w:type="spellStart"/>
      <w:r w:rsidR="003D0D73" w:rsidRPr="004E7438">
        <w:rPr>
          <w:lang w:val="cs-CZ"/>
        </w:rPr>
        <w:t>Jardiné</w:t>
      </w:r>
      <w:proofErr w:type="spellEnd"/>
      <w:r w:rsidR="003D0D73" w:rsidRPr="004E7438">
        <w:rPr>
          <w:lang w:val="cs-CZ"/>
        </w:rPr>
        <w:t>, C., et al.</w:t>
      </w:r>
      <w:r w:rsidR="00275F2F">
        <w:rPr>
          <w:lang w:val="cs-CZ"/>
        </w:rPr>
        <w:t xml:space="preserve">, </w:t>
      </w:r>
      <w:r w:rsidR="003D0D73" w:rsidRPr="004E7438">
        <w:rPr>
          <w:lang w:val="cs-CZ"/>
        </w:rPr>
        <w:t>2023)</w:t>
      </w:r>
      <w:r w:rsidR="00325C6E" w:rsidRPr="004E7438">
        <w:rPr>
          <w:vertAlign w:val="superscript"/>
          <w:lang w:val="cs-CZ"/>
        </w:rPr>
        <w:t>40</w:t>
      </w:r>
      <w:r w:rsidR="003D0D73" w:rsidRPr="004E7438">
        <w:rPr>
          <w:lang w:val="cs-CZ"/>
        </w:rPr>
        <w:t xml:space="preserve">. Tento dokument obsahuje doporučení "používat krevní test kombinující </w:t>
      </w:r>
      <w:r w:rsidR="003D0D73" w:rsidRPr="00275F2F">
        <w:rPr>
          <w:i/>
          <w:iCs/>
          <w:lang w:val="cs-CZ"/>
        </w:rPr>
        <w:t>UCH-L1</w:t>
      </w:r>
      <w:r w:rsidR="003D0D73" w:rsidRPr="004E7438">
        <w:rPr>
          <w:lang w:val="cs-CZ"/>
        </w:rPr>
        <w:t xml:space="preserve"> a </w:t>
      </w:r>
      <w:r w:rsidR="003D0D73" w:rsidRPr="00275F2F">
        <w:rPr>
          <w:i/>
          <w:iCs/>
          <w:lang w:val="cs-CZ"/>
        </w:rPr>
        <w:t>GFAP</w:t>
      </w:r>
      <w:r w:rsidR="003D0D73" w:rsidRPr="004E7438">
        <w:rPr>
          <w:lang w:val="cs-CZ"/>
        </w:rPr>
        <w:t>, pokud jsou k dispozici, během 12 hodin po mírném traumatickém poranění mozku u pacientů se středním rizikem, cílem je omezit počet mozkových skenů." Je třeba poznamenat, že</w:t>
      </w:r>
      <w:r w:rsidRPr="004E7438">
        <w:rPr>
          <w:lang w:val="cs-CZ"/>
        </w:rPr>
        <w:t xml:space="preserve"> u</w:t>
      </w:r>
      <w:r w:rsidR="003D0D73" w:rsidRPr="004E7438">
        <w:rPr>
          <w:lang w:val="cs-CZ"/>
        </w:rPr>
        <w:t xml:space="preserve"> tohoto doporučení bylo dosaženo silné shody </w:t>
      </w:r>
      <w:r w:rsidRPr="004E7438">
        <w:rPr>
          <w:lang w:val="cs-CZ"/>
        </w:rPr>
        <w:t xml:space="preserve">mezi </w:t>
      </w:r>
      <w:r w:rsidR="003D0D73" w:rsidRPr="004E7438">
        <w:rPr>
          <w:lang w:val="cs-CZ"/>
        </w:rPr>
        <w:t>odborník</w:t>
      </w:r>
      <w:r w:rsidRPr="004E7438">
        <w:rPr>
          <w:lang w:val="cs-CZ"/>
        </w:rPr>
        <w:t>y</w:t>
      </w:r>
      <w:r w:rsidR="003D0D73" w:rsidRPr="004E7438">
        <w:rPr>
          <w:lang w:val="cs-CZ"/>
        </w:rPr>
        <w:t>. Střední riziko je definováno jako přítomnost anamnestických faktorů, jako je věk 65 let nebo více při mono</w:t>
      </w:r>
      <w:r w:rsidRPr="004E7438">
        <w:rPr>
          <w:lang w:val="cs-CZ"/>
        </w:rPr>
        <w:t>-</w:t>
      </w:r>
      <w:proofErr w:type="spellStart"/>
      <w:r w:rsidR="003D0D73" w:rsidRPr="004E7438">
        <w:rPr>
          <w:lang w:val="cs-CZ"/>
        </w:rPr>
        <w:t>protidestičkové</w:t>
      </w:r>
      <w:proofErr w:type="spellEnd"/>
      <w:r w:rsidR="003D0D73" w:rsidRPr="004E7438">
        <w:rPr>
          <w:lang w:val="cs-CZ"/>
        </w:rPr>
        <w:t xml:space="preserve"> léčbě, GCS </w:t>
      </w:r>
      <w:proofErr w:type="gramStart"/>
      <w:r w:rsidR="003D0D73" w:rsidRPr="004E7438">
        <w:rPr>
          <w:lang w:val="cs-CZ"/>
        </w:rPr>
        <w:t>&lt; 15</w:t>
      </w:r>
      <w:proofErr w:type="gramEnd"/>
      <w:r w:rsidR="003D0D73" w:rsidRPr="004E7438">
        <w:rPr>
          <w:lang w:val="cs-CZ"/>
        </w:rPr>
        <w:t xml:space="preserve"> hodin po 2 hodinách od traumatu s intoxikací nebo vysokoenergetickým traumatem; nebo přítomnost klinických faktorů, jako je amnézie </w:t>
      </w:r>
      <w:r w:rsidRPr="004E7438">
        <w:rPr>
          <w:lang w:val="cs-CZ"/>
        </w:rPr>
        <w:t>poku</w:t>
      </w:r>
      <w:r w:rsidR="00275F2F">
        <w:rPr>
          <w:lang w:val="cs-CZ"/>
        </w:rPr>
        <w:t>d</w:t>
      </w:r>
      <w:r w:rsidR="003D0D73" w:rsidRPr="004E7438">
        <w:rPr>
          <w:lang w:val="cs-CZ"/>
        </w:rPr>
        <w:t xml:space="preserve"> k t</w:t>
      </w:r>
      <w:r w:rsidRPr="004E7438">
        <w:rPr>
          <w:lang w:val="cs-CZ"/>
        </w:rPr>
        <w:t xml:space="preserve">omuto </w:t>
      </w:r>
      <w:r w:rsidR="003D0D73" w:rsidRPr="004E7438">
        <w:rPr>
          <w:lang w:val="cs-CZ"/>
        </w:rPr>
        <w:t xml:space="preserve"> došlo více než 30 minut po traumatické události.</w:t>
      </w:r>
    </w:p>
    <w:p w14:paraId="6E050FA8" w14:textId="664CB009" w:rsidR="003D0D73" w:rsidRPr="004E7438" w:rsidRDefault="003D0D73" w:rsidP="003D0D73">
      <w:pPr>
        <w:rPr>
          <w:lang w:val="cs-CZ"/>
        </w:rPr>
      </w:pPr>
      <w:r w:rsidRPr="004E7438">
        <w:rPr>
          <w:lang w:val="cs-CZ"/>
        </w:rPr>
        <w:t xml:space="preserve">Na konci roku 2023 zveřejnila </w:t>
      </w:r>
      <w:r w:rsidRPr="004E7438">
        <w:rPr>
          <w:b/>
          <w:bCs/>
          <w:lang w:val="cs-CZ"/>
        </w:rPr>
        <w:t>Španělská</w:t>
      </w:r>
      <w:r w:rsidRPr="004E7438">
        <w:rPr>
          <w:lang w:val="cs-CZ"/>
        </w:rPr>
        <w:t xml:space="preserve"> </w:t>
      </w:r>
      <w:r w:rsidRPr="004E7438">
        <w:rPr>
          <w:b/>
          <w:bCs/>
          <w:lang w:val="cs-CZ"/>
        </w:rPr>
        <w:t>společnost pro urgentní medicínu</w:t>
      </w:r>
      <w:r w:rsidRPr="004E7438">
        <w:rPr>
          <w:lang w:val="cs-CZ"/>
        </w:rPr>
        <w:t xml:space="preserve"> (</w:t>
      </w:r>
      <w:proofErr w:type="spellStart"/>
      <w:r w:rsidRPr="004E7438">
        <w:rPr>
          <w:lang w:val="cs-CZ"/>
        </w:rPr>
        <w:t>Sociedad</w:t>
      </w:r>
      <w:proofErr w:type="spellEnd"/>
      <w:r w:rsidRPr="004E7438">
        <w:rPr>
          <w:lang w:val="cs-CZ"/>
        </w:rPr>
        <w:t xml:space="preserve"> </w:t>
      </w:r>
      <w:proofErr w:type="spellStart"/>
      <w:r w:rsidRPr="004E7438">
        <w:rPr>
          <w:lang w:val="cs-CZ"/>
        </w:rPr>
        <w:t>Española</w:t>
      </w:r>
      <w:proofErr w:type="spellEnd"/>
      <w:r w:rsidRPr="004E7438">
        <w:rPr>
          <w:lang w:val="cs-CZ"/>
        </w:rPr>
        <w:t xml:space="preserve"> de </w:t>
      </w:r>
      <w:proofErr w:type="spellStart"/>
      <w:r w:rsidRPr="004E7438">
        <w:rPr>
          <w:lang w:val="cs-CZ"/>
        </w:rPr>
        <w:t>Medicina</w:t>
      </w:r>
      <w:proofErr w:type="spellEnd"/>
      <w:r w:rsidRPr="004E7438">
        <w:rPr>
          <w:lang w:val="cs-CZ"/>
        </w:rPr>
        <w:t xml:space="preserve"> de </w:t>
      </w:r>
      <w:proofErr w:type="spellStart"/>
      <w:r w:rsidRPr="004E7438">
        <w:rPr>
          <w:lang w:val="cs-CZ"/>
        </w:rPr>
        <w:t>Urgencias</w:t>
      </w:r>
      <w:proofErr w:type="spellEnd"/>
      <w:r w:rsidRPr="004E7438">
        <w:rPr>
          <w:lang w:val="cs-CZ"/>
        </w:rPr>
        <w:t xml:space="preserve"> y </w:t>
      </w:r>
      <w:proofErr w:type="spellStart"/>
      <w:r w:rsidRPr="004E7438">
        <w:rPr>
          <w:lang w:val="cs-CZ"/>
        </w:rPr>
        <w:t>Emergencias</w:t>
      </w:r>
      <w:proofErr w:type="spellEnd"/>
      <w:r w:rsidRPr="004E7438">
        <w:rPr>
          <w:lang w:val="cs-CZ"/>
        </w:rPr>
        <w:t>, SEMES) nová doporučení týkající se péče o pacienty s lehkým traumatickým poraněním mozku</w:t>
      </w:r>
      <w:r w:rsidR="00DF5C61" w:rsidRPr="004E7438">
        <w:rPr>
          <w:vertAlign w:val="superscript"/>
          <w:lang w:val="cs-CZ"/>
        </w:rPr>
        <w:t>36</w:t>
      </w:r>
      <w:r w:rsidRPr="004E7438">
        <w:rPr>
          <w:lang w:val="cs-CZ"/>
        </w:rPr>
        <w:t>, kter</w:t>
      </w:r>
      <w:r w:rsidR="0070433E" w:rsidRPr="004E7438">
        <w:rPr>
          <w:lang w:val="cs-CZ"/>
        </w:rPr>
        <w:t>é</w:t>
      </w:r>
      <w:r w:rsidRPr="004E7438">
        <w:rPr>
          <w:lang w:val="cs-CZ"/>
        </w:rPr>
        <w:t xml:space="preserve"> schválila Španělská společnost laboratorní medicíny (</w:t>
      </w:r>
      <w:proofErr w:type="spellStart"/>
      <w:r w:rsidRPr="004E7438">
        <w:rPr>
          <w:lang w:val="cs-CZ"/>
        </w:rPr>
        <w:t>Sociedad</w:t>
      </w:r>
      <w:proofErr w:type="spellEnd"/>
      <w:r w:rsidRPr="004E7438">
        <w:rPr>
          <w:lang w:val="cs-CZ"/>
        </w:rPr>
        <w:t xml:space="preserve"> </w:t>
      </w:r>
      <w:proofErr w:type="spellStart"/>
      <w:r w:rsidRPr="004E7438">
        <w:rPr>
          <w:lang w:val="cs-CZ"/>
        </w:rPr>
        <w:t>Española</w:t>
      </w:r>
      <w:proofErr w:type="spellEnd"/>
      <w:r w:rsidRPr="004E7438">
        <w:rPr>
          <w:lang w:val="cs-CZ"/>
        </w:rPr>
        <w:t xml:space="preserve"> de </w:t>
      </w:r>
      <w:proofErr w:type="spellStart"/>
      <w:r w:rsidRPr="004E7438">
        <w:rPr>
          <w:lang w:val="cs-CZ"/>
        </w:rPr>
        <w:t>Medicina</w:t>
      </w:r>
      <w:proofErr w:type="spellEnd"/>
      <w:r w:rsidRPr="004E7438">
        <w:rPr>
          <w:lang w:val="cs-CZ"/>
        </w:rPr>
        <w:t xml:space="preserve"> de </w:t>
      </w:r>
      <w:proofErr w:type="spellStart"/>
      <w:r w:rsidRPr="004E7438">
        <w:rPr>
          <w:lang w:val="cs-CZ"/>
        </w:rPr>
        <w:t>Laboratorio</w:t>
      </w:r>
      <w:proofErr w:type="spellEnd"/>
      <w:r w:rsidRPr="004E7438">
        <w:rPr>
          <w:lang w:val="cs-CZ"/>
        </w:rPr>
        <w:t>), Španělská společnost pro lékařskou radiologii (</w:t>
      </w:r>
      <w:proofErr w:type="spellStart"/>
      <w:r w:rsidRPr="004E7438">
        <w:rPr>
          <w:lang w:val="cs-CZ"/>
        </w:rPr>
        <w:t>Sociedad</w:t>
      </w:r>
      <w:proofErr w:type="spellEnd"/>
      <w:r w:rsidRPr="004E7438">
        <w:rPr>
          <w:lang w:val="cs-CZ"/>
        </w:rPr>
        <w:t xml:space="preserve"> </w:t>
      </w:r>
      <w:proofErr w:type="spellStart"/>
      <w:r w:rsidRPr="004E7438">
        <w:rPr>
          <w:lang w:val="cs-CZ"/>
        </w:rPr>
        <w:t>Española</w:t>
      </w:r>
      <w:proofErr w:type="spellEnd"/>
      <w:r w:rsidRPr="004E7438">
        <w:rPr>
          <w:lang w:val="cs-CZ"/>
        </w:rPr>
        <w:t xml:space="preserve"> de </w:t>
      </w:r>
      <w:proofErr w:type="spellStart"/>
      <w:r w:rsidRPr="004E7438">
        <w:rPr>
          <w:lang w:val="cs-CZ"/>
        </w:rPr>
        <w:t>Radiología</w:t>
      </w:r>
      <w:proofErr w:type="spellEnd"/>
      <w:r w:rsidRPr="004E7438">
        <w:rPr>
          <w:lang w:val="cs-CZ"/>
        </w:rPr>
        <w:t xml:space="preserve"> </w:t>
      </w:r>
      <w:proofErr w:type="spellStart"/>
      <w:r w:rsidRPr="004E7438">
        <w:rPr>
          <w:lang w:val="cs-CZ"/>
        </w:rPr>
        <w:t>Médica</w:t>
      </w:r>
      <w:proofErr w:type="spellEnd"/>
      <w:r w:rsidRPr="004E7438">
        <w:rPr>
          <w:lang w:val="cs-CZ"/>
        </w:rPr>
        <w:t>) a Španělská společnost pro nouzovou radiologii (</w:t>
      </w:r>
      <w:proofErr w:type="spellStart"/>
      <w:r w:rsidRPr="004E7438">
        <w:rPr>
          <w:lang w:val="cs-CZ"/>
        </w:rPr>
        <w:t>Sociedad</w:t>
      </w:r>
      <w:proofErr w:type="spellEnd"/>
      <w:r w:rsidRPr="004E7438">
        <w:rPr>
          <w:lang w:val="cs-CZ"/>
        </w:rPr>
        <w:t xml:space="preserve"> </w:t>
      </w:r>
      <w:proofErr w:type="spellStart"/>
      <w:r w:rsidRPr="004E7438">
        <w:rPr>
          <w:lang w:val="cs-CZ"/>
        </w:rPr>
        <w:t>Española</w:t>
      </w:r>
      <w:proofErr w:type="spellEnd"/>
      <w:r w:rsidRPr="004E7438">
        <w:rPr>
          <w:lang w:val="cs-CZ"/>
        </w:rPr>
        <w:t xml:space="preserve"> de </w:t>
      </w:r>
      <w:proofErr w:type="spellStart"/>
      <w:r w:rsidRPr="004E7438">
        <w:rPr>
          <w:lang w:val="cs-CZ"/>
        </w:rPr>
        <w:t>Radiologia</w:t>
      </w:r>
      <w:proofErr w:type="spellEnd"/>
      <w:r w:rsidRPr="004E7438">
        <w:rPr>
          <w:lang w:val="cs-CZ"/>
        </w:rPr>
        <w:t xml:space="preserve"> de </w:t>
      </w:r>
      <w:proofErr w:type="spellStart"/>
      <w:r w:rsidRPr="004E7438">
        <w:rPr>
          <w:lang w:val="cs-CZ"/>
        </w:rPr>
        <w:t>Urgencias</w:t>
      </w:r>
      <w:proofErr w:type="spellEnd"/>
      <w:r w:rsidRPr="004E7438">
        <w:rPr>
          <w:lang w:val="cs-CZ"/>
        </w:rPr>
        <w:t>). V těchto doporučeních se uvádí, že "</w:t>
      </w:r>
      <w:proofErr w:type="spellStart"/>
      <w:r w:rsidRPr="004E7438">
        <w:rPr>
          <w:lang w:val="cs-CZ"/>
        </w:rPr>
        <w:t>gliální</w:t>
      </w:r>
      <w:proofErr w:type="spellEnd"/>
      <w:r w:rsidRPr="004E7438">
        <w:rPr>
          <w:lang w:val="cs-CZ"/>
        </w:rPr>
        <w:t xml:space="preserve"> fibrilární kyselý protein (GFAP) a </w:t>
      </w:r>
      <w:proofErr w:type="spellStart"/>
      <w:r w:rsidRPr="004E7438">
        <w:rPr>
          <w:lang w:val="cs-CZ"/>
        </w:rPr>
        <w:t>ubikvitin</w:t>
      </w:r>
      <w:proofErr w:type="spellEnd"/>
      <w:r w:rsidRPr="004E7438">
        <w:rPr>
          <w:lang w:val="cs-CZ"/>
        </w:rPr>
        <w:t xml:space="preserve"> C</w:t>
      </w:r>
      <w:r w:rsidR="00275F2F">
        <w:rPr>
          <w:lang w:val="cs-CZ"/>
        </w:rPr>
        <w:noBreakHyphen/>
      </w:r>
      <w:r w:rsidRPr="004E7438">
        <w:rPr>
          <w:lang w:val="cs-CZ"/>
        </w:rPr>
        <w:t xml:space="preserve">terminální hydroláza L1 (UCH-L1) jsou užitečné při rozhodování </w:t>
      </w:r>
      <w:r w:rsidR="0070433E" w:rsidRPr="004E7438">
        <w:rPr>
          <w:lang w:val="cs-CZ"/>
        </w:rPr>
        <w:t xml:space="preserve">u </w:t>
      </w:r>
      <w:r w:rsidRPr="004E7438">
        <w:rPr>
          <w:lang w:val="cs-CZ"/>
        </w:rPr>
        <w:t>dospělých</w:t>
      </w:r>
      <w:r w:rsidR="0070433E" w:rsidRPr="004E7438">
        <w:rPr>
          <w:lang w:val="cs-CZ"/>
        </w:rPr>
        <w:t xml:space="preserve"> pacientů</w:t>
      </w:r>
      <w:r w:rsidRPr="004E7438">
        <w:rPr>
          <w:lang w:val="cs-CZ"/>
        </w:rPr>
        <w:t xml:space="preserve"> se skóre GCS mezi 13 a 15 v prvních 12 hodinách po poranění hlavy, protože mohou naznačit potřebu CT nebo pomoci vyloučit </w:t>
      </w:r>
      <w:r w:rsidR="0070433E" w:rsidRPr="004E7438">
        <w:rPr>
          <w:lang w:val="cs-CZ"/>
        </w:rPr>
        <w:t>potřebu CT vyšetření</w:t>
      </w:r>
      <w:r w:rsidRPr="004E7438">
        <w:rPr>
          <w:lang w:val="cs-CZ"/>
        </w:rPr>
        <w:t xml:space="preserve">. Negativní prediktivní hodnota negativních nálezů pro </w:t>
      </w:r>
      <w:r w:rsidRPr="00275F2F">
        <w:rPr>
          <w:i/>
          <w:iCs/>
          <w:lang w:val="cs-CZ"/>
        </w:rPr>
        <w:t>GFAP</w:t>
      </w:r>
      <w:r w:rsidRPr="004E7438">
        <w:rPr>
          <w:lang w:val="cs-CZ"/>
        </w:rPr>
        <w:t xml:space="preserve"> a </w:t>
      </w:r>
      <w:r w:rsidRPr="00275F2F">
        <w:rPr>
          <w:i/>
          <w:iCs/>
          <w:lang w:val="cs-CZ"/>
        </w:rPr>
        <w:t>UCH-L1</w:t>
      </w:r>
      <w:r w:rsidRPr="004E7438">
        <w:rPr>
          <w:lang w:val="cs-CZ"/>
        </w:rPr>
        <w:t xml:space="preserve"> do 12 hodin od traumatu umožňuje vyloučit CT u pacientů se skóre GCS 15, kteří mají symptomy a/nebo rizikové faktory, nebo u pacientů se skóre GCS 13 nebo 14. Takoví pacienti mohou být propuštěni na domácí pozorování, pokud se dostatečně zotavili a jsou asymptomatičtí. Od zveřejnění doporučení začal stále větší počet nemocnic ve Španělsku používat krevní testy GFAP a UCH-L1 TBI při rutinní léčbě pacientů s mírným TBI.</w:t>
      </w:r>
    </w:p>
    <w:p w14:paraId="53369E22" w14:textId="6A992356" w:rsidR="003D0D73" w:rsidRPr="004E7438" w:rsidRDefault="003D0D73" w:rsidP="003D0D73">
      <w:pPr>
        <w:rPr>
          <w:lang w:val="cs-CZ"/>
        </w:rPr>
      </w:pPr>
      <w:r w:rsidRPr="004E7438">
        <w:rPr>
          <w:lang w:val="cs-CZ"/>
        </w:rPr>
        <w:lastRenderedPageBreak/>
        <w:t>Na začátku roku 2024 z</w:t>
      </w:r>
      <w:r w:rsidR="0070433E" w:rsidRPr="004E7438">
        <w:rPr>
          <w:lang w:val="cs-CZ"/>
        </w:rPr>
        <w:t>veřejnila</w:t>
      </w:r>
      <w:r w:rsidRPr="004E7438">
        <w:rPr>
          <w:lang w:val="cs-CZ"/>
        </w:rPr>
        <w:t xml:space="preserve"> </w:t>
      </w:r>
      <w:proofErr w:type="spellStart"/>
      <w:r w:rsidRPr="004E7438">
        <w:rPr>
          <w:b/>
          <w:bCs/>
          <w:lang w:val="cs-CZ"/>
        </w:rPr>
        <w:t>American</w:t>
      </w:r>
      <w:proofErr w:type="spellEnd"/>
      <w:r w:rsidRPr="004E7438">
        <w:rPr>
          <w:b/>
          <w:bCs/>
          <w:lang w:val="cs-CZ"/>
        </w:rPr>
        <w:t xml:space="preserve"> </w:t>
      </w:r>
      <w:proofErr w:type="spellStart"/>
      <w:r w:rsidRPr="004E7438">
        <w:rPr>
          <w:b/>
          <w:bCs/>
          <w:lang w:val="cs-CZ"/>
        </w:rPr>
        <w:t>College</w:t>
      </w:r>
      <w:proofErr w:type="spellEnd"/>
      <w:r w:rsidRPr="004E7438">
        <w:rPr>
          <w:b/>
          <w:bCs/>
          <w:lang w:val="cs-CZ"/>
        </w:rPr>
        <w:t xml:space="preserve"> </w:t>
      </w:r>
      <w:proofErr w:type="spellStart"/>
      <w:r w:rsidRPr="004E7438">
        <w:rPr>
          <w:b/>
          <w:bCs/>
          <w:lang w:val="cs-CZ"/>
        </w:rPr>
        <w:t>of</w:t>
      </w:r>
      <w:proofErr w:type="spellEnd"/>
      <w:r w:rsidRPr="004E7438">
        <w:rPr>
          <w:b/>
          <w:bCs/>
          <w:lang w:val="cs-CZ"/>
        </w:rPr>
        <w:t xml:space="preserve"> </w:t>
      </w:r>
      <w:proofErr w:type="spellStart"/>
      <w:r w:rsidRPr="004E7438">
        <w:rPr>
          <w:b/>
          <w:bCs/>
          <w:lang w:val="cs-CZ"/>
        </w:rPr>
        <w:t>Emergency</w:t>
      </w:r>
      <w:proofErr w:type="spellEnd"/>
      <w:r w:rsidRPr="004E7438">
        <w:rPr>
          <w:b/>
          <w:bCs/>
          <w:lang w:val="cs-CZ"/>
        </w:rPr>
        <w:t xml:space="preserve"> </w:t>
      </w:r>
      <w:proofErr w:type="spellStart"/>
      <w:r w:rsidRPr="004E7438">
        <w:rPr>
          <w:b/>
          <w:bCs/>
          <w:lang w:val="cs-CZ"/>
        </w:rPr>
        <w:t>Physicians</w:t>
      </w:r>
      <w:proofErr w:type="spellEnd"/>
      <w:r w:rsidRPr="004E7438">
        <w:rPr>
          <w:lang w:val="cs-CZ"/>
        </w:rPr>
        <w:t xml:space="preserve"> doporučení, aby "zvážili použití krevních hladin biomarkerů poranění mozku schválených FDA, </w:t>
      </w:r>
      <w:proofErr w:type="spellStart"/>
      <w:r w:rsidRPr="004E7438">
        <w:rPr>
          <w:lang w:val="cs-CZ"/>
        </w:rPr>
        <w:t>gliálního</w:t>
      </w:r>
      <w:proofErr w:type="spellEnd"/>
      <w:r w:rsidRPr="004E7438">
        <w:rPr>
          <w:lang w:val="cs-CZ"/>
        </w:rPr>
        <w:t xml:space="preserve"> fibrilárního kyselého proteinu (GFAP) a </w:t>
      </w:r>
      <w:proofErr w:type="spellStart"/>
      <w:r w:rsidRPr="004E7438">
        <w:rPr>
          <w:lang w:val="cs-CZ"/>
        </w:rPr>
        <w:t>ubikvitinu</w:t>
      </w:r>
      <w:proofErr w:type="spellEnd"/>
      <w:r w:rsidRPr="004E7438">
        <w:rPr>
          <w:lang w:val="cs-CZ"/>
        </w:rPr>
        <w:t xml:space="preserve">, </w:t>
      </w:r>
      <w:proofErr w:type="spellStart"/>
      <w:r w:rsidRPr="004E7438">
        <w:rPr>
          <w:lang w:val="cs-CZ"/>
        </w:rPr>
        <w:t>karboxy</w:t>
      </w:r>
      <w:proofErr w:type="spellEnd"/>
      <w:r w:rsidRPr="004E7438">
        <w:rPr>
          <w:lang w:val="cs-CZ"/>
        </w:rPr>
        <w:t>-terminální hydrolázy L1 (UCH-L1), které jim pomohou při rozhodování o CT zobrazení mozku, pokud se [lékaři] stále obávají možných CT lézí u dospělých pacientů s  GCS 14 a 15 s nízkým rizikem traumatické intrakraniální léze na CT (na základě současných klinických rozhodovací</w:t>
      </w:r>
      <w:r w:rsidR="00275F2F">
        <w:rPr>
          <w:lang w:val="cs-CZ"/>
        </w:rPr>
        <w:t>ch</w:t>
      </w:r>
      <w:r w:rsidRPr="004E7438">
        <w:rPr>
          <w:lang w:val="cs-CZ"/>
        </w:rPr>
        <w:t xml:space="preserve"> pravid</w:t>
      </w:r>
      <w:r w:rsidR="00275F2F">
        <w:rPr>
          <w:lang w:val="cs-CZ"/>
        </w:rPr>
        <w:t>el</w:t>
      </w:r>
      <w:r w:rsidRPr="004E7438">
        <w:rPr>
          <w:lang w:val="cs-CZ"/>
        </w:rPr>
        <w:t>/pokyn</w:t>
      </w:r>
      <w:r w:rsidR="00275F2F">
        <w:rPr>
          <w:lang w:val="cs-CZ"/>
        </w:rPr>
        <w:t>ů</w:t>
      </w:r>
      <w:r w:rsidRPr="004E7438">
        <w:rPr>
          <w:lang w:val="cs-CZ"/>
        </w:rPr>
        <w:t>)" v nástrojích Point-</w:t>
      </w:r>
      <w:proofErr w:type="spellStart"/>
      <w:r w:rsidRPr="004E7438">
        <w:rPr>
          <w:lang w:val="cs-CZ"/>
        </w:rPr>
        <w:t>of</w:t>
      </w:r>
      <w:proofErr w:type="spellEnd"/>
      <w:r w:rsidRPr="004E7438">
        <w:rPr>
          <w:lang w:val="cs-CZ"/>
        </w:rPr>
        <w:t>-Care pro léčbu mírného TBI nebo otřesu</w:t>
      </w:r>
      <w:r w:rsidR="00997E3C" w:rsidRPr="009A6AF7">
        <w:rPr>
          <w:lang w:val="cs-CZ"/>
        </w:rPr>
        <w:t xml:space="preserve"> mozku </w:t>
      </w:r>
      <w:r w:rsidR="00997E3C" w:rsidRPr="004E7438">
        <w:rPr>
          <w:vertAlign w:val="superscript"/>
          <w:lang w:val="cs-CZ"/>
        </w:rPr>
        <w:t>35</w:t>
      </w:r>
      <w:r w:rsidRPr="004E7438">
        <w:rPr>
          <w:lang w:val="cs-CZ"/>
        </w:rPr>
        <w:t xml:space="preserve">. Kromě toho byly do nových diagnostických kritérií pro mírné TBI </w:t>
      </w:r>
      <w:proofErr w:type="spellStart"/>
      <w:r w:rsidRPr="004E7438">
        <w:rPr>
          <w:lang w:val="cs-CZ"/>
        </w:rPr>
        <w:t>American</w:t>
      </w:r>
      <w:proofErr w:type="spellEnd"/>
      <w:r w:rsidRPr="004E7438">
        <w:rPr>
          <w:lang w:val="cs-CZ"/>
        </w:rPr>
        <w:t xml:space="preserve"> </w:t>
      </w:r>
      <w:proofErr w:type="spellStart"/>
      <w:r w:rsidRPr="004E7438">
        <w:rPr>
          <w:lang w:val="cs-CZ"/>
        </w:rPr>
        <w:t>College</w:t>
      </w:r>
      <w:proofErr w:type="spellEnd"/>
      <w:r w:rsidRPr="004E7438">
        <w:rPr>
          <w:lang w:val="cs-CZ"/>
        </w:rPr>
        <w:t xml:space="preserve"> </w:t>
      </w:r>
      <w:proofErr w:type="spellStart"/>
      <w:r w:rsidRPr="004E7438">
        <w:rPr>
          <w:lang w:val="cs-CZ"/>
        </w:rPr>
        <w:t>of</w:t>
      </w:r>
      <w:proofErr w:type="spellEnd"/>
      <w:r w:rsidRPr="004E7438">
        <w:rPr>
          <w:lang w:val="cs-CZ"/>
        </w:rPr>
        <w:t xml:space="preserve"> </w:t>
      </w:r>
      <w:proofErr w:type="spellStart"/>
      <w:r w:rsidRPr="004E7438">
        <w:rPr>
          <w:lang w:val="cs-CZ"/>
        </w:rPr>
        <w:t>Rehabilitation</w:t>
      </w:r>
      <w:proofErr w:type="spellEnd"/>
      <w:r w:rsidRPr="004E7438">
        <w:rPr>
          <w:lang w:val="cs-CZ"/>
        </w:rPr>
        <w:t xml:space="preserve"> </w:t>
      </w:r>
      <w:proofErr w:type="spellStart"/>
      <w:r w:rsidRPr="004E7438">
        <w:rPr>
          <w:lang w:val="cs-CZ"/>
        </w:rPr>
        <w:t>Medicine</w:t>
      </w:r>
      <w:proofErr w:type="spellEnd"/>
      <w:r w:rsidRPr="004E7438">
        <w:rPr>
          <w:lang w:val="cs-CZ"/>
        </w:rPr>
        <w:t xml:space="preserve"> (ACRM) v publikaci z roku 2023 zahrnuty "zvýšené krevní biomarkery svědčící o intrakraniálním poranění"</w:t>
      </w:r>
      <w:r w:rsidRPr="009F0022">
        <w:rPr>
          <w:vertAlign w:val="superscript"/>
          <w:lang w:val="cs-CZ"/>
        </w:rPr>
        <w:t>37</w:t>
      </w:r>
      <w:r w:rsidRPr="004E7438">
        <w:rPr>
          <w:lang w:val="cs-CZ"/>
        </w:rPr>
        <w:t xml:space="preserve">. Tento </w:t>
      </w:r>
      <w:r w:rsidR="0070433E" w:rsidRPr="004E7438">
        <w:rPr>
          <w:lang w:val="cs-CZ"/>
        </w:rPr>
        <w:t xml:space="preserve">konsensus </w:t>
      </w:r>
      <w:r w:rsidRPr="004E7438">
        <w:rPr>
          <w:lang w:val="cs-CZ"/>
        </w:rPr>
        <w:t xml:space="preserve">uvádí, že "zvýšené </w:t>
      </w:r>
      <w:r w:rsidR="0070433E" w:rsidRPr="004E7438">
        <w:rPr>
          <w:lang w:val="cs-CZ"/>
        </w:rPr>
        <w:t xml:space="preserve">hodnoty </w:t>
      </w:r>
      <w:r w:rsidRPr="004E7438">
        <w:rPr>
          <w:lang w:val="cs-CZ"/>
        </w:rPr>
        <w:t>krevní</w:t>
      </w:r>
      <w:r w:rsidR="0070433E" w:rsidRPr="004E7438">
        <w:rPr>
          <w:lang w:val="cs-CZ"/>
        </w:rPr>
        <w:t>ch</w:t>
      </w:r>
      <w:r w:rsidRPr="004E7438">
        <w:rPr>
          <w:lang w:val="cs-CZ"/>
        </w:rPr>
        <w:t xml:space="preserve"> biomarker</w:t>
      </w:r>
      <w:r w:rsidR="0070433E" w:rsidRPr="004E7438">
        <w:rPr>
          <w:lang w:val="cs-CZ"/>
        </w:rPr>
        <w:t>ů</w:t>
      </w:r>
      <w:r w:rsidRPr="004E7438">
        <w:rPr>
          <w:lang w:val="cs-CZ"/>
        </w:rPr>
        <w:t xml:space="preserve"> svědčící o intrakraniálním poškození</w:t>
      </w:r>
      <w:r w:rsidR="0070433E" w:rsidRPr="004E7438">
        <w:rPr>
          <w:lang w:val="cs-CZ"/>
        </w:rPr>
        <w:t xml:space="preserve">, </w:t>
      </w:r>
      <w:proofErr w:type="gramStart"/>
      <w:r w:rsidR="0070433E" w:rsidRPr="004E7438">
        <w:rPr>
          <w:lang w:val="cs-CZ"/>
        </w:rPr>
        <w:t>hodnoty</w:t>
      </w:r>
      <w:proofErr w:type="gramEnd"/>
      <w:r w:rsidR="0070433E" w:rsidRPr="004E7438">
        <w:rPr>
          <w:lang w:val="cs-CZ"/>
        </w:rPr>
        <w:t xml:space="preserve"> kterých jsou nastaveny dle principu </w:t>
      </w:r>
      <w:r w:rsidR="009F0022">
        <w:rPr>
          <w:lang w:val="cs-CZ"/>
        </w:rPr>
        <w:t>„</w:t>
      </w:r>
      <w:r w:rsidR="0070433E" w:rsidRPr="004E7438">
        <w:rPr>
          <w:lang w:val="cs-CZ"/>
        </w:rPr>
        <w:t xml:space="preserve">evidence </w:t>
      </w:r>
      <w:proofErr w:type="spellStart"/>
      <w:r w:rsidR="0070433E" w:rsidRPr="004E7438">
        <w:rPr>
          <w:lang w:val="cs-CZ"/>
        </w:rPr>
        <w:t>based</w:t>
      </w:r>
      <w:proofErr w:type="spellEnd"/>
      <w:r w:rsidR="009F0022">
        <w:rPr>
          <w:lang w:val="cs-CZ"/>
        </w:rPr>
        <w:t>“</w:t>
      </w:r>
      <w:r w:rsidR="0070433E" w:rsidRPr="004E7438">
        <w:rPr>
          <w:lang w:val="cs-CZ"/>
        </w:rPr>
        <w:t xml:space="preserve">, </w:t>
      </w:r>
      <w:r w:rsidRPr="004E7438">
        <w:rPr>
          <w:lang w:val="cs-CZ"/>
        </w:rPr>
        <w:t xml:space="preserve">mohou nejen pomoci při </w:t>
      </w:r>
      <w:proofErr w:type="spellStart"/>
      <w:r w:rsidRPr="004E7438">
        <w:rPr>
          <w:lang w:val="cs-CZ"/>
        </w:rPr>
        <w:t>t</w:t>
      </w:r>
      <w:r w:rsidR="0070433E" w:rsidRPr="004E7438">
        <w:rPr>
          <w:lang w:val="cs-CZ"/>
        </w:rPr>
        <w:t>riáži</w:t>
      </w:r>
      <w:proofErr w:type="spellEnd"/>
      <w:r w:rsidR="009F0022">
        <w:rPr>
          <w:lang w:val="cs-CZ"/>
        </w:rPr>
        <w:t xml:space="preserve"> </w:t>
      </w:r>
      <w:r w:rsidRPr="004E7438">
        <w:rPr>
          <w:lang w:val="cs-CZ"/>
        </w:rPr>
        <w:t xml:space="preserve">pro použití počítačové tomografie hlavy, ale mohou také pomoci identifikovat jedince s mírným TBI bez ohledu na to, zda je provedena počítačová tomografie. Diagnostická kritéria ACRM nejmenují specifické testy, </w:t>
      </w:r>
      <w:proofErr w:type="spellStart"/>
      <w:r w:rsidRPr="004E7438">
        <w:rPr>
          <w:lang w:val="cs-CZ"/>
        </w:rPr>
        <w:t>neurozobrazovací</w:t>
      </w:r>
      <w:proofErr w:type="spellEnd"/>
      <w:r w:rsidRPr="004E7438">
        <w:rPr>
          <w:lang w:val="cs-CZ"/>
        </w:rPr>
        <w:t xml:space="preserve"> sekvence nebo krevní biomarkery, aby se zabránilo tomu, že se kritéria stanou zastaralými </w:t>
      </w:r>
      <w:r w:rsidR="0070433E" w:rsidRPr="004E7438">
        <w:rPr>
          <w:lang w:val="cs-CZ"/>
        </w:rPr>
        <w:t xml:space="preserve">ve srovnání s </w:t>
      </w:r>
      <w:r w:rsidRPr="004E7438">
        <w:rPr>
          <w:lang w:val="cs-CZ"/>
        </w:rPr>
        <w:t>novými výzkum</w:t>
      </w:r>
      <w:r w:rsidR="0070433E" w:rsidRPr="004E7438">
        <w:rPr>
          <w:lang w:val="cs-CZ"/>
        </w:rPr>
        <w:t>y</w:t>
      </w:r>
      <w:r w:rsidRPr="004E7438">
        <w:rPr>
          <w:lang w:val="cs-CZ"/>
        </w:rPr>
        <w:t xml:space="preserve"> nebo pokrokem v technologii. Tato nová diagnostická kritéria dláždí cestu pro budoucí zahrnutí krevních biomarkerů do definic</w:t>
      </w:r>
      <w:r w:rsidR="009F0022">
        <w:rPr>
          <w:lang w:val="cs-CZ"/>
        </w:rPr>
        <w:t>e</w:t>
      </w:r>
      <w:r w:rsidRPr="004E7438">
        <w:rPr>
          <w:lang w:val="cs-CZ"/>
        </w:rPr>
        <w:t xml:space="preserve"> a charakterizac</w:t>
      </w:r>
      <w:r w:rsidR="009F0022">
        <w:rPr>
          <w:lang w:val="cs-CZ"/>
        </w:rPr>
        <w:t>e</w:t>
      </w:r>
      <w:r w:rsidRPr="004E7438">
        <w:rPr>
          <w:lang w:val="cs-CZ"/>
        </w:rPr>
        <w:t xml:space="preserve"> mírného TBI v široké lékařské praxi.</w:t>
      </w:r>
    </w:p>
    <w:p w14:paraId="66D602F9" w14:textId="0FED85FE" w:rsidR="00F71B22" w:rsidRPr="004E7438" w:rsidRDefault="005568C1" w:rsidP="001A5B4D">
      <w:pPr>
        <w:ind w:right="274"/>
        <w:rPr>
          <w:lang w:val="cs-CZ"/>
        </w:rPr>
      </w:pPr>
      <w:r w:rsidRPr="004E7438">
        <w:rPr>
          <w:lang w:val="cs-CZ"/>
        </w:rPr>
        <w:t xml:space="preserve">Test je hrazen ve Spolkové republice Německo (od prosince 2022), přičemž jedna nemocnice již test úspěšně používá ke snížení počtu CT vyšetření a další je připravena začít </w:t>
      </w:r>
      <w:r w:rsidR="0070433E" w:rsidRPr="004E7438">
        <w:rPr>
          <w:lang w:val="cs-CZ"/>
        </w:rPr>
        <w:t xml:space="preserve">test </w:t>
      </w:r>
      <w:r w:rsidRPr="004E7438">
        <w:rPr>
          <w:lang w:val="cs-CZ"/>
        </w:rPr>
        <w:t>rutinně používat.</w:t>
      </w:r>
    </w:p>
    <w:p w14:paraId="716C1F9B" w14:textId="63173282" w:rsidR="005B59BF" w:rsidRPr="004E7438" w:rsidRDefault="005B59BF" w:rsidP="005B59BF">
      <w:pPr>
        <w:rPr>
          <w:lang w:val="cs-CZ"/>
        </w:rPr>
      </w:pPr>
    </w:p>
    <w:p w14:paraId="6CA23055" w14:textId="24230DD5" w:rsidR="00B92E67" w:rsidRPr="00167DC8" w:rsidRDefault="007438FE" w:rsidP="009A6AF7">
      <w:pPr>
        <w:pStyle w:val="Nadpis1"/>
        <w:numPr>
          <w:ilvl w:val="0"/>
          <w:numId w:val="23"/>
        </w:numPr>
        <w:rPr>
          <w:lang w:val="cs-CZ"/>
        </w:rPr>
      </w:pPr>
      <w:bookmarkStart w:id="21" w:name="_Toc152598356"/>
      <w:bookmarkStart w:id="22" w:name="_Toc174350733"/>
      <w:r w:rsidRPr="00167DC8">
        <w:rPr>
          <w:lang w:val="cs-CZ"/>
        </w:rPr>
        <w:t>D</w:t>
      </w:r>
      <w:r w:rsidR="0095231C" w:rsidRPr="00167DC8">
        <w:rPr>
          <w:lang w:val="cs-CZ"/>
        </w:rPr>
        <w:t xml:space="preserve">oporučení České společnosti </w:t>
      </w:r>
      <w:bookmarkStart w:id="23" w:name="_Hlk181358930"/>
      <w:r w:rsidR="0095231C" w:rsidRPr="00167DC8">
        <w:rPr>
          <w:lang w:val="cs-CZ"/>
        </w:rPr>
        <w:t>úrazové chirurgie České lékařské společnosti Jana Evangelisty Purkyně</w:t>
      </w:r>
      <w:bookmarkEnd w:id="21"/>
      <w:bookmarkEnd w:id="22"/>
      <w:bookmarkEnd w:id="23"/>
    </w:p>
    <w:p w14:paraId="346813A6" w14:textId="77777777" w:rsidR="00EA74E5" w:rsidRPr="004E7438" w:rsidRDefault="00EA74E5" w:rsidP="00EA74E5">
      <w:pPr>
        <w:pStyle w:val="Odstavecseseznamem"/>
        <w:rPr>
          <w:lang w:val="cs-CZ"/>
        </w:rPr>
      </w:pPr>
    </w:p>
    <w:p w14:paraId="1043F18F" w14:textId="502E4F16" w:rsidR="0049059E" w:rsidRPr="004E7438" w:rsidRDefault="0049059E" w:rsidP="009A6AF7">
      <w:pPr>
        <w:pStyle w:val="Nadpis2"/>
        <w:numPr>
          <w:ilvl w:val="1"/>
          <w:numId w:val="26"/>
        </w:numPr>
        <w:rPr>
          <w:lang w:val="cs-CZ"/>
        </w:rPr>
      </w:pPr>
      <w:bookmarkStart w:id="24" w:name="_Toc152598357"/>
      <w:bookmarkStart w:id="25" w:name="_Toc174350734"/>
      <w:r w:rsidRPr="00167DC8">
        <w:rPr>
          <w:lang w:val="pl-PL"/>
        </w:rPr>
        <w:t>Profil pacienta, u kterého je mTBI test vhodný k použití:</w:t>
      </w:r>
      <w:bookmarkEnd w:id="24"/>
      <w:bookmarkEnd w:id="25"/>
    </w:p>
    <w:p w14:paraId="39A916E1" w14:textId="7A58CF97" w:rsidR="00DA7CBD" w:rsidRPr="004E7438" w:rsidRDefault="00DA7CBD" w:rsidP="00DA7CBD">
      <w:pPr>
        <w:pStyle w:val="Normlnweb"/>
        <w:shd w:val="clear" w:color="auto" w:fill="FFFFFF"/>
        <w:spacing w:before="0" w:beforeAutospacing="0" w:after="0" w:afterAutospacing="0"/>
        <w:rPr>
          <w:lang w:val="cs-CZ"/>
        </w:rPr>
      </w:pPr>
      <w:r w:rsidRPr="004E7438">
        <w:rPr>
          <w:lang w:val="cs-CZ"/>
        </w:rPr>
        <w:t xml:space="preserve">U pacientů ve věku </w:t>
      </w:r>
      <w:proofErr w:type="gramStart"/>
      <w:r w:rsidRPr="004E7438">
        <w:rPr>
          <w:lang w:val="cs-CZ"/>
        </w:rPr>
        <w:t>18</w:t>
      </w:r>
      <w:r w:rsidR="009F0022">
        <w:rPr>
          <w:lang w:val="cs-CZ"/>
        </w:rPr>
        <w:t xml:space="preserve"> </w:t>
      </w:r>
      <w:r w:rsidRPr="004E7438">
        <w:rPr>
          <w:lang w:val="cs-CZ"/>
        </w:rPr>
        <w:t>-</w:t>
      </w:r>
      <w:r w:rsidR="0070433E" w:rsidRPr="004E7438">
        <w:rPr>
          <w:lang w:val="cs-CZ"/>
        </w:rPr>
        <w:t xml:space="preserve"> </w:t>
      </w:r>
      <w:r w:rsidRPr="004E7438">
        <w:rPr>
          <w:lang w:val="cs-CZ"/>
        </w:rPr>
        <w:t>65</w:t>
      </w:r>
      <w:proofErr w:type="gramEnd"/>
      <w:r w:rsidRPr="004E7438">
        <w:rPr>
          <w:lang w:val="cs-CZ"/>
        </w:rPr>
        <w:t xml:space="preserve"> let (test je schválen pro použití u všech pacientů ve věku 18 a více let) s lehkým poraněním hlavy s GCS 14-15 </w:t>
      </w:r>
      <w:r w:rsidR="007438FE">
        <w:rPr>
          <w:lang w:val="cs-CZ"/>
        </w:rPr>
        <w:t>je možné</w:t>
      </w:r>
      <w:r w:rsidRPr="004E7438">
        <w:rPr>
          <w:lang w:val="cs-CZ"/>
        </w:rPr>
        <w:t xml:space="preserve"> odebrat vzorek krve pro analýzu kombinace biomarkerů GFAP a LCH-1 (sérum nebo plazma), pokud od traumatu uplynulo méně než 12 hodin a pacient nevykazuje žádný z uvedených rizikových faktorů: </w:t>
      </w:r>
    </w:p>
    <w:p w14:paraId="26DF8EAE" w14:textId="63666368" w:rsidR="00DA7CBD" w:rsidRPr="004E7438" w:rsidRDefault="002F58BD" w:rsidP="00DA7CBD">
      <w:pPr>
        <w:pStyle w:val="xmsonormal"/>
        <w:numPr>
          <w:ilvl w:val="0"/>
          <w:numId w:val="3"/>
        </w:numPr>
        <w:shd w:val="clear" w:color="auto" w:fill="FFFFFF"/>
        <w:rPr>
          <w:lang w:val="cs-CZ"/>
        </w:rPr>
      </w:pPr>
      <w:r w:rsidRPr="004E7438">
        <w:rPr>
          <w:lang w:val="cs-CZ"/>
        </w:rPr>
        <w:t>Antikoagulační léčba</w:t>
      </w:r>
    </w:p>
    <w:p w14:paraId="407B9564" w14:textId="749696CE" w:rsidR="00DA7CBD" w:rsidRPr="004E7438" w:rsidRDefault="002F58BD" w:rsidP="00DA7CBD">
      <w:pPr>
        <w:pStyle w:val="xmsonormal"/>
        <w:numPr>
          <w:ilvl w:val="0"/>
          <w:numId w:val="3"/>
        </w:numPr>
        <w:shd w:val="clear" w:color="auto" w:fill="FFFFFF"/>
        <w:rPr>
          <w:lang w:val="cs-CZ"/>
        </w:rPr>
      </w:pPr>
      <w:r w:rsidRPr="004E7438">
        <w:rPr>
          <w:lang w:val="cs-CZ"/>
        </w:rPr>
        <w:t>zlomenina lebky</w:t>
      </w:r>
    </w:p>
    <w:p w14:paraId="601EE70E" w14:textId="1C68AD86" w:rsidR="00DA7CBD" w:rsidRPr="004E7438" w:rsidRDefault="002F58BD" w:rsidP="00DA7CBD">
      <w:pPr>
        <w:pStyle w:val="xmsonormal"/>
        <w:numPr>
          <w:ilvl w:val="0"/>
          <w:numId w:val="3"/>
        </w:numPr>
        <w:shd w:val="clear" w:color="auto" w:fill="FFFFFF"/>
        <w:rPr>
          <w:lang w:val="cs-CZ"/>
        </w:rPr>
      </w:pPr>
      <w:r w:rsidRPr="004E7438">
        <w:rPr>
          <w:lang w:val="cs-CZ"/>
        </w:rPr>
        <w:t>fokální neurologické deficity</w:t>
      </w:r>
    </w:p>
    <w:p w14:paraId="1C92FA1A" w14:textId="76FC42D8" w:rsidR="00DA7CBD" w:rsidRPr="004E7438" w:rsidRDefault="0070433E" w:rsidP="00DA7CBD">
      <w:pPr>
        <w:pStyle w:val="xmsonormal"/>
        <w:numPr>
          <w:ilvl w:val="0"/>
          <w:numId w:val="3"/>
        </w:numPr>
        <w:shd w:val="clear" w:color="auto" w:fill="FFFFFF"/>
        <w:rPr>
          <w:lang w:val="cs-CZ"/>
        </w:rPr>
      </w:pPr>
      <w:r w:rsidRPr="004E7438">
        <w:rPr>
          <w:lang w:val="cs-CZ"/>
        </w:rPr>
        <w:t>ztráta vědomí</w:t>
      </w:r>
    </w:p>
    <w:p w14:paraId="4D916E24" w14:textId="35AA786D" w:rsidR="00DA7CBD" w:rsidRPr="004E7438" w:rsidRDefault="002F58BD" w:rsidP="00DA7CBD">
      <w:pPr>
        <w:pStyle w:val="xmsonormal"/>
        <w:numPr>
          <w:ilvl w:val="0"/>
          <w:numId w:val="3"/>
        </w:numPr>
        <w:shd w:val="clear" w:color="auto" w:fill="FFFFFF"/>
        <w:rPr>
          <w:lang w:val="cs-CZ"/>
        </w:rPr>
      </w:pPr>
      <w:r w:rsidRPr="004E7438">
        <w:rPr>
          <w:lang w:val="cs-CZ"/>
        </w:rPr>
        <w:t>opakované zvracení</w:t>
      </w:r>
    </w:p>
    <w:p w14:paraId="4BCA2A7D" w14:textId="1B392BB5" w:rsidR="009B483B" w:rsidRDefault="009B483B" w:rsidP="0095231C">
      <w:pPr>
        <w:pStyle w:val="Default"/>
        <w:numPr>
          <w:ilvl w:val="0"/>
          <w:numId w:val="3"/>
        </w:numPr>
        <w:rPr>
          <w:color w:val="auto"/>
          <w:sz w:val="22"/>
          <w:lang w:val="cs-CZ"/>
        </w:rPr>
      </w:pPr>
      <w:r w:rsidRPr="004E7438">
        <w:rPr>
          <w:color w:val="auto"/>
          <w:sz w:val="22"/>
          <w:lang w:val="cs-CZ"/>
        </w:rPr>
        <w:t>Amnézie pacienta netrvala déle než 30 minut</w:t>
      </w:r>
    </w:p>
    <w:p w14:paraId="1BBBA938" w14:textId="3FF6CE28" w:rsidR="006D378B" w:rsidRPr="004E7438" w:rsidRDefault="006D378B" w:rsidP="009A6AF7">
      <w:pPr>
        <w:pStyle w:val="Default"/>
        <w:rPr>
          <w:color w:val="auto"/>
          <w:sz w:val="22"/>
          <w:lang w:val="cs-CZ"/>
        </w:rPr>
      </w:pPr>
      <w:r>
        <w:rPr>
          <w:color w:val="auto"/>
          <w:sz w:val="22"/>
          <w:lang w:val="cs-CZ"/>
        </w:rPr>
        <w:t xml:space="preserve">V případě, že by </w:t>
      </w:r>
      <w:r w:rsidR="009C3F73">
        <w:rPr>
          <w:color w:val="auto"/>
          <w:sz w:val="22"/>
          <w:lang w:val="cs-CZ"/>
        </w:rPr>
        <w:t>při vstupním vyšetření</w:t>
      </w:r>
      <w:r w:rsidR="00877DF4">
        <w:rPr>
          <w:color w:val="auto"/>
          <w:sz w:val="22"/>
          <w:lang w:val="cs-CZ"/>
        </w:rPr>
        <w:t xml:space="preserve"> pacienta </w:t>
      </w:r>
      <w:r>
        <w:rPr>
          <w:color w:val="auto"/>
          <w:sz w:val="22"/>
          <w:lang w:val="cs-CZ"/>
        </w:rPr>
        <w:t xml:space="preserve">nález </w:t>
      </w:r>
      <w:r w:rsidR="00237563">
        <w:rPr>
          <w:color w:val="auto"/>
          <w:sz w:val="22"/>
          <w:lang w:val="cs-CZ"/>
        </w:rPr>
        <w:t>CT vyšetření</w:t>
      </w:r>
      <w:r w:rsidR="007438FE">
        <w:rPr>
          <w:color w:val="auto"/>
          <w:sz w:val="22"/>
          <w:lang w:val="cs-CZ"/>
        </w:rPr>
        <w:t xml:space="preserve"> byl negativní a </w:t>
      </w:r>
      <w:r w:rsidR="00237563">
        <w:rPr>
          <w:color w:val="auto"/>
          <w:sz w:val="22"/>
          <w:lang w:val="cs-CZ"/>
        </w:rPr>
        <w:t xml:space="preserve">výsledek testu </w:t>
      </w:r>
      <w:proofErr w:type="spellStart"/>
      <w:r w:rsidR="00237563">
        <w:rPr>
          <w:color w:val="auto"/>
          <w:sz w:val="22"/>
          <w:lang w:val="cs-CZ"/>
        </w:rPr>
        <w:t>mTBI</w:t>
      </w:r>
      <w:proofErr w:type="spellEnd"/>
      <w:r w:rsidR="00237563">
        <w:rPr>
          <w:color w:val="auto"/>
          <w:sz w:val="22"/>
          <w:lang w:val="cs-CZ"/>
        </w:rPr>
        <w:t xml:space="preserve"> </w:t>
      </w:r>
      <w:r w:rsidR="007438FE">
        <w:rPr>
          <w:color w:val="auto"/>
          <w:sz w:val="22"/>
          <w:lang w:val="cs-CZ"/>
        </w:rPr>
        <w:t xml:space="preserve">také negativní, je to pro ošetřujícího lékaře podpůrným argumentem pro </w:t>
      </w:r>
      <w:proofErr w:type="spellStart"/>
      <w:r w:rsidR="007438FE">
        <w:rPr>
          <w:color w:val="auto"/>
          <w:sz w:val="22"/>
          <w:lang w:val="cs-CZ"/>
        </w:rPr>
        <w:t>dimisi</w:t>
      </w:r>
      <w:proofErr w:type="spellEnd"/>
      <w:r w:rsidR="007438FE">
        <w:rPr>
          <w:color w:val="auto"/>
          <w:sz w:val="22"/>
          <w:lang w:val="cs-CZ"/>
        </w:rPr>
        <w:t xml:space="preserve"> pacienta namísto zvyklé admise ke observaci</w:t>
      </w:r>
      <w:r w:rsidR="007E3A7D">
        <w:rPr>
          <w:color w:val="auto"/>
          <w:sz w:val="22"/>
          <w:lang w:val="cs-CZ"/>
        </w:rPr>
        <w:t>.</w:t>
      </w:r>
    </w:p>
    <w:p w14:paraId="7B4E8974" w14:textId="0EFC2B05" w:rsidR="009B483B" w:rsidRPr="004E7438" w:rsidRDefault="009B483B" w:rsidP="009B483B">
      <w:pPr>
        <w:pStyle w:val="Default"/>
        <w:rPr>
          <w:color w:val="auto"/>
          <w:sz w:val="22"/>
          <w:szCs w:val="22"/>
          <w:lang w:val="cs-CZ"/>
        </w:rPr>
      </w:pPr>
    </w:p>
    <w:p w14:paraId="7B0B064D" w14:textId="5CA06415" w:rsidR="009B483B" w:rsidRPr="004E7438" w:rsidRDefault="00901D92" w:rsidP="009A6AF7">
      <w:pPr>
        <w:pStyle w:val="Nadpis2"/>
        <w:numPr>
          <w:ilvl w:val="1"/>
          <w:numId w:val="26"/>
        </w:numPr>
        <w:rPr>
          <w:color w:val="auto"/>
          <w:lang w:val="cs-CZ"/>
        </w:rPr>
      </w:pPr>
      <w:bookmarkStart w:id="26" w:name="_Toc152598358"/>
      <w:bookmarkStart w:id="27" w:name="_Toc174350735"/>
      <w:r w:rsidRPr="004E7438">
        <w:rPr>
          <w:lang w:val="cs-CZ"/>
        </w:rPr>
        <w:t>Specializace a pracoviště, kter</w:t>
      </w:r>
      <w:r w:rsidR="0070433E" w:rsidRPr="004E7438">
        <w:rPr>
          <w:lang w:val="cs-CZ"/>
        </w:rPr>
        <w:t>é</w:t>
      </w:r>
      <w:r w:rsidRPr="004E7438">
        <w:rPr>
          <w:lang w:val="cs-CZ"/>
        </w:rPr>
        <w:t xml:space="preserve"> test indik</w:t>
      </w:r>
      <w:bookmarkEnd w:id="26"/>
      <w:r w:rsidR="0070433E" w:rsidRPr="004E7438">
        <w:rPr>
          <w:lang w:val="cs-CZ"/>
        </w:rPr>
        <w:t>uje</w:t>
      </w:r>
      <w:bookmarkEnd w:id="27"/>
    </w:p>
    <w:p w14:paraId="4ED5EB63" w14:textId="491735E1" w:rsidR="009B483B" w:rsidRPr="004E7438" w:rsidRDefault="009B483B" w:rsidP="009B483B">
      <w:pPr>
        <w:pStyle w:val="Default"/>
        <w:numPr>
          <w:ilvl w:val="0"/>
          <w:numId w:val="4"/>
        </w:numPr>
        <w:rPr>
          <w:color w:val="auto"/>
          <w:sz w:val="22"/>
          <w:lang w:val="cs-CZ"/>
        </w:rPr>
      </w:pPr>
      <w:r w:rsidRPr="004E7438">
        <w:rPr>
          <w:color w:val="auto"/>
          <w:sz w:val="22"/>
          <w:lang w:val="cs-CZ"/>
        </w:rPr>
        <w:t xml:space="preserve">Urgentní příjem, </w:t>
      </w:r>
      <w:r w:rsidR="007438FE">
        <w:rPr>
          <w:color w:val="auto"/>
          <w:sz w:val="22"/>
          <w:lang w:val="cs-CZ"/>
        </w:rPr>
        <w:t>traumatologie, úrazová chirurgie, chirurgie, neurologie</w:t>
      </w:r>
    </w:p>
    <w:p w14:paraId="37639565" w14:textId="02671165" w:rsidR="009B483B" w:rsidRPr="004E7438" w:rsidRDefault="009B483B" w:rsidP="009B483B">
      <w:pPr>
        <w:pStyle w:val="Default"/>
        <w:rPr>
          <w:color w:val="auto"/>
          <w:sz w:val="22"/>
          <w:szCs w:val="22"/>
          <w:lang w:val="cs-CZ"/>
        </w:rPr>
      </w:pPr>
    </w:p>
    <w:p w14:paraId="47131107" w14:textId="6F5B07EE" w:rsidR="009B483B" w:rsidRPr="004E7438" w:rsidRDefault="009B483B" w:rsidP="009A6AF7">
      <w:pPr>
        <w:pStyle w:val="Nadpis2"/>
        <w:numPr>
          <w:ilvl w:val="1"/>
          <w:numId w:val="26"/>
        </w:numPr>
        <w:rPr>
          <w:color w:val="auto"/>
          <w:lang w:val="cs-CZ"/>
        </w:rPr>
      </w:pPr>
      <w:bookmarkStart w:id="28" w:name="_Toc152598359"/>
      <w:bookmarkStart w:id="29" w:name="_Toc174350736"/>
      <w:r w:rsidRPr="004E7438">
        <w:rPr>
          <w:lang w:val="cs-CZ"/>
        </w:rPr>
        <w:t>Odhadovaný počet pacientů za rok</w:t>
      </w:r>
      <w:bookmarkEnd w:id="28"/>
      <w:bookmarkEnd w:id="29"/>
    </w:p>
    <w:p w14:paraId="3B7875DC" w14:textId="6CBDDA92" w:rsidR="009B483B" w:rsidRDefault="009B483B" w:rsidP="009B483B">
      <w:pPr>
        <w:pStyle w:val="Default"/>
        <w:numPr>
          <w:ilvl w:val="0"/>
          <w:numId w:val="5"/>
        </w:numPr>
        <w:rPr>
          <w:color w:val="auto"/>
          <w:sz w:val="22"/>
          <w:lang w:val="cs-CZ"/>
        </w:rPr>
      </w:pPr>
      <w:r w:rsidRPr="004E7438">
        <w:rPr>
          <w:color w:val="auto"/>
          <w:sz w:val="22"/>
          <w:lang w:val="cs-CZ"/>
        </w:rPr>
        <w:t>3</w:t>
      </w:r>
      <w:r w:rsidR="009A6AF7">
        <w:rPr>
          <w:color w:val="auto"/>
          <w:sz w:val="22"/>
          <w:lang w:val="cs-CZ"/>
        </w:rPr>
        <w:t>6</w:t>
      </w:r>
      <w:r w:rsidR="00EE7D0E">
        <w:rPr>
          <w:color w:val="auto"/>
          <w:sz w:val="22"/>
          <w:lang w:val="cs-CZ"/>
        </w:rPr>
        <w:t> </w:t>
      </w:r>
      <w:r w:rsidRPr="004E7438">
        <w:rPr>
          <w:color w:val="auto"/>
          <w:sz w:val="22"/>
          <w:lang w:val="cs-CZ"/>
        </w:rPr>
        <w:t>000</w:t>
      </w:r>
    </w:p>
    <w:p w14:paraId="10580EC9" w14:textId="736552EB" w:rsidR="00A40554" w:rsidRPr="00167DC8" w:rsidRDefault="00A40554" w:rsidP="009478A5">
      <w:pPr>
        <w:ind w:left="360"/>
        <w:rPr>
          <w:color w:val="000000"/>
          <w:lang w:val="cs-CZ"/>
        </w:rPr>
      </w:pPr>
      <w:r w:rsidRPr="00167DC8">
        <w:rPr>
          <w:color w:val="000000"/>
          <w:lang w:val="cs-CZ"/>
        </w:rPr>
        <w:lastRenderedPageBreak/>
        <w:t xml:space="preserve">Počty nemocných, kteří byli hospitalizováni v ČR pro nitrolební poranění v letech 1994-1997, ilustrují stoupající </w:t>
      </w:r>
      <w:proofErr w:type="gramStart"/>
      <w:r w:rsidRPr="00167DC8">
        <w:rPr>
          <w:color w:val="000000"/>
          <w:lang w:val="cs-CZ"/>
        </w:rPr>
        <w:t>trend - pohybují</w:t>
      </w:r>
      <w:proofErr w:type="gramEnd"/>
      <w:r w:rsidRPr="00167DC8">
        <w:rPr>
          <w:color w:val="000000"/>
          <w:lang w:val="cs-CZ"/>
        </w:rPr>
        <w:t xml:space="preserve"> se v průměru kolem 36 tisíc nemocných za rok. Při porovnání počtů traumat v roce 1986 a 1996 zjišťujeme nárůst přibližně o 15 tisíc případů. Přičteme-li k tomu ještě poranění hlavy s negativním nálezem na CT mozku, dostáváme se k číslům kolem 50 tisíc nemocných ročně. Nejvíce hospitalizovaných v ČR představovali v roce 1997 pacienti s komocí mozku, kterých bylo 29990 (r.</w:t>
      </w:r>
      <w:proofErr w:type="gramStart"/>
      <w:r w:rsidRPr="00167DC8">
        <w:rPr>
          <w:color w:val="000000"/>
          <w:lang w:val="cs-CZ"/>
        </w:rPr>
        <w:t>1994 - 26200</w:t>
      </w:r>
      <w:proofErr w:type="gramEnd"/>
      <w:r w:rsidRPr="00167DC8">
        <w:rPr>
          <w:color w:val="000000"/>
          <w:lang w:val="cs-CZ"/>
        </w:rPr>
        <w:t>, r.1996 - 31500)</w:t>
      </w:r>
      <w:r w:rsidRPr="00167DC8">
        <w:rPr>
          <w:color w:val="000000"/>
          <w:vertAlign w:val="superscript"/>
          <w:lang w:val="cs-CZ"/>
        </w:rPr>
        <w:t>42</w:t>
      </w:r>
    </w:p>
    <w:p w14:paraId="7B34D354" w14:textId="77777777" w:rsidR="00EE7D0E" w:rsidRPr="004E7438" w:rsidRDefault="00EE7D0E" w:rsidP="009A6AF7">
      <w:pPr>
        <w:pStyle w:val="Default"/>
        <w:ind w:left="360"/>
        <w:rPr>
          <w:color w:val="auto"/>
          <w:sz w:val="22"/>
          <w:lang w:val="cs-CZ"/>
        </w:rPr>
      </w:pPr>
    </w:p>
    <w:p w14:paraId="1E3F3DCB" w14:textId="38CC86CA" w:rsidR="009B483B" w:rsidRPr="004E7438" w:rsidRDefault="009B483B" w:rsidP="009B483B">
      <w:pPr>
        <w:pStyle w:val="Default"/>
        <w:rPr>
          <w:color w:val="auto"/>
          <w:sz w:val="22"/>
          <w:szCs w:val="22"/>
          <w:lang w:val="cs-CZ"/>
        </w:rPr>
      </w:pPr>
    </w:p>
    <w:p w14:paraId="195BCD39" w14:textId="6696ABD6" w:rsidR="009B483B" w:rsidRPr="004E7438" w:rsidRDefault="00060A78" w:rsidP="009A6AF7">
      <w:pPr>
        <w:pStyle w:val="Nadpis2"/>
        <w:numPr>
          <w:ilvl w:val="1"/>
          <w:numId w:val="26"/>
        </w:numPr>
        <w:rPr>
          <w:color w:val="auto"/>
          <w:lang w:val="cs-CZ"/>
        </w:rPr>
      </w:pPr>
      <w:bookmarkStart w:id="30" w:name="_Toc152598360"/>
      <w:bookmarkStart w:id="31" w:name="_Toc174350737"/>
      <w:r w:rsidRPr="004E7438">
        <w:rPr>
          <w:lang w:val="cs-CZ"/>
        </w:rPr>
        <w:t>Výhody testu</w:t>
      </w:r>
      <w:bookmarkEnd w:id="30"/>
      <w:bookmarkEnd w:id="31"/>
    </w:p>
    <w:p w14:paraId="4C2F9198" w14:textId="16DE631D" w:rsidR="00B1704A" w:rsidRPr="004E7438" w:rsidRDefault="0049059E" w:rsidP="00B1704A">
      <w:pPr>
        <w:rPr>
          <w:rFonts w:ascii="Arial" w:hAnsi="Arial"/>
          <w:sz w:val="20"/>
          <w:lang w:val="cs-CZ"/>
        </w:rPr>
      </w:pPr>
      <w:r w:rsidRPr="004E7438">
        <w:rPr>
          <w:lang w:val="cs-CZ"/>
        </w:rPr>
        <w:t xml:space="preserve">Studie ukazují, že asi u 40 % pacientů je test negativní a CT vyšetření není nutné – tyto výsledky potvrdilo i sledování provedené </w:t>
      </w:r>
      <w:r w:rsidR="002D7964">
        <w:rPr>
          <w:lang w:val="cs-CZ"/>
        </w:rPr>
        <w:t xml:space="preserve">v roce </w:t>
      </w:r>
      <w:r w:rsidRPr="004E7438">
        <w:rPr>
          <w:lang w:val="cs-CZ"/>
        </w:rPr>
        <w:t xml:space="preserve">na 1. chirurgické klinice 1. LF UK a VFN Praha u 223 pacientů. Tato studie ukázala, že použití testu je bezpečné a jeho </w:t>
      </w:r>
      <w:r w:rsidR="0008286E">
        <w:rPr>
          <w:lang w:val="cs-CZ"/>
        </w:rPr>
        <w:t>výsledky korelují s</w:t>
      </w:r>
      <w:r w:rsidR="00144575">
        <w:rPr>
          <w:lang w:val="cs-CZ"/>
        </w:rPr>
        <w:t> nálezy provedených</w:t>
      </w:r>
      <w:r w:rsidRPr="004E7438">
        <w:rPr>
          <w:lang w:val="cs-CZ"/>
        </w:rPr>
        <w:t xml:space="preserve"> CT vyšetření </w:t>
      </w:r>
      <w:r w:rsidR="00012E03" w:rsidRPr="004E7438">
        <w:rPr>
          <w:vertAlign w:val="superscript"/>
          <w:lang w:val="cs-CZ"/>
        </w:rPr>
        <w:t>41</w:t>
      </w:r>
      <w:r w:rsidR="00012E03" w:rsidRPr="004E7438">
        <w:rPr>
          <w:lang w:val="cs-CZ"/>
        </w:rPr>
        <w:t>.</w:t>
      </w:r>
    </w:p>
    <w:p w14:paraId="40726E63" w14:textId="56A4CD74" w:rsidR="009B483B" w:rsidRDefault="007438FE" w:rsidP="00B401A2">
      <w:pPr>
        <w:pStyle w:val="Default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V této fázi použití je přínosem testu možnost snížení zátěže akutních lůžek pacienty, kteří jsou nyní standardně indikováni ke krátké observaci za hospitalizace 24-48 hodin, s </w:t>
      </w:r>
      <w:proofErr w:type="spellStart"/>
      <w:r>
        <w:rPr>
          <w:color w:val="auto"/>
          <w:sz w:val="22"/>
          <w:szCs w:val="22"/>
          <w:lang w:val="cs-CZ"/>
        </w:rPr>
        <w:t>diagnozou</w:t>
      </w:r>
      <w:proofErr w:type="spellEnd"/>
      <w:r>
        <w:rPr>
          <w:color w:val="auto"/>
          <w:sz w:val="22"/>
          <w:szCs w:val="22"/>
          <w:lang w:val="cs-CZ"/>
        </w:rPr>
        <w:t xml:space="preserve"> S 0600, resp. redukce jejich počtu na cca </w:t>
      </w:r>
      <w:proofErr w:type="gramStart"/>
      <w:r>
        <w:rPr>
          <w:color w:val="auto"/>
          <w:sz w:val="22"/>
          <w:szCs w:val="22"/>
          <w:lang w:val="cs-CZ"/>
        </w:rPr>
        <w:t>50%</w:t>
      </w:r>
      <w:proofErr w:type="gramEnd"/>
      <w:r>
        <w:rPr>
          <w:color w:val="auto"/>
          <w:sz w:val="22"/>
          <w:szCs w:val="22"/>
          <w:lang w:val="cs-CZ"/>
        </w:rPr>
        <w:t>.</w:t>
      </w:r>
    </w:p>
    <w:p w14:paraId="18FE23BA" w14:textId="77777777" w:rsidR="007438FE" w:rsidRDefault="007438FE" w:rsidP="00B401A2">
      <w:pPr>
        <w:pStyle w:val="Default"/>
        <w:rPr>
          <w:color w:val="auto"/>
          <w:sz w:val="22"/>
          <w:szCs w:val="22"/>
          <w:lang w:val="cs-CZ"/>
        </w:rPr>
      </w:pPr>
    </w:p>
    <w:p w14:paraId="5D68843A" w14:textId="4FEB8E3A" w:rsidR="007438FE" w:rsidRPr="004E7438" w:rsidRDefault="007438FE" w:rsidP="00B401A2">
      <w:pPr>
        <w:pStyle w:val="Default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Jednoznačně je doporučeno pokračovat ve sběru dat a ve spolupráci s neurologickou a neurochirurgickou odbornou společností případně rozšířit doporučení k využití testu se zaměřením na redukci nutných CT vyšetření a tím i radiační zátěže.</w:t>
      </w:r>
    </w:p>
    <w:p w14:paraId="2ACE4C31" w14:textId="77777777" w:rsidR="0049059E" w:rsidRPr="004E7438" w:rsidRDefault="0049059E" w:rsidP="009B483B">
      <w:pPr>
        <w:pStyle w:val="Default"/>
        <w:rPr>
          <w:color w:val="auto"/>
          <w:sz w:val="22"/>
          <w:lang w:val="cs-CZ"/>
        </w:rPr>
      </w:pPr>
    </w:p>
    <w:p w14:paraId="2D167990" w14:textId="279E7398" w:rsidR="0049059E" w:rsidRPr="004E7438" w:rsidRDefault="0070433E" w:rsidP="009B483B">
      <w:pPr>
        <w:pStyle w:val="Default"/>
        <w:rPr>
          <w:color w:val="auto"/>
          <w:sz w:val="22"/>
          <w:lang w:val="cs-CZ"/>
        </w:rPr>
      </w:pPr>
      <w:r w:rsidRPr="004E7438">
        <w:rPr>
          <w:color w:val="auto"/>
          <w:sz w:val="22"/>
          <w:lang w:val="cs-CZ"/>
        </w:rPr>
        <w:t>Přínosy u</w:t>
      </w:r>
      <w:r w:rsidR="0049059E" w:rsidRPr="004E7438">
        <w:rPr>
          <w:color w:val="auto"/>
          <w:sz w:val="22"/>
          <w:lang w:val="cs-CZ"/>
        </w:rPr>
        <w:t>vedení testu do praxe</w:t>
      </w:r>
      <w:r w:rsidR="007438FE">
        <w:rPr>
          <w:color w:val="auto"/>
          <w:sz w:val="22"/>
          <w:lang w:val="cs-CZ"/>
        </w:rPr>
        <w:t xml:space="preserve"> aktuální</w:t>
      </w:r>
      <w:r w:rsidR="0049059E" w:rsidRPr="004E7438">
        <w:rPr>
          <w:color w:val="auto"/>
          <w:sz w:val="22"/>
          <w:lang w:val="cs-CZ"/>
        </w:rPr>
        <w:t>:</w:t>
      </w:r>
    </w:p>
    <w:p w14:paraId="642E28B1" w14:textId="7527E4C1" w:rsidR="0049059E" w:rsidRPr="004E7438" w:rsidRDefault="0070433E" w:rsidP="0049059E">
      <w:pPr>
        <w:pStyle w:val="Default"/>
        <w:numPr>
          <w:ilvl w:val="0"/>
          <w:numId w:val="5"/>
        </w:numPr>
        <w:rPr>
          <w:color w:val="auto"/>
          <w:sz w:val="22"/>
          <w:lang w:val="cs-CZ"/>
        </w:rPr>
      </w:pPr>
      <w:r w:rsidRPr="004E7438">
        <w:rPr>
          <w:color w:val="auto"/>
          <w:sz w:val="22"/>
          <w:szCs w:val="22"/>
          <w:lang w:val="cs-CZ"/>
        </w:rPr>
        <w:t>z</w:t>
      </w:r>
      <w:r w:rsidR="00677309" w:rsidRPr="004E7438">
        <w:rPr>
          <w:color w:val="auto"/>
          <w:sz w:val="22"/>
          <w:szCs w:val="22"/>
          <w:lang w:val="cs-CZ"/>
        </w:rPr>
        <w:t>krácení</w:t>
      </w:r>
      <w:r w:rsidR="001529AD" w:rsidRPr="004E7438">
        <w:rPr>
          <w:color w:val="auto"/>
          <w:sz w:val="22"/>
          <w:lang w:val="cs-CZ"/>
        </w:rPr>
        <w:t xml:space="preserve"> délky pobytu pacienta s mTBI na urgentním příjmu</w:t>
      </w:r>
    </w:p>
    <w:p w14:paraId="6549B45C" w14:textId="6C8D06FB" w:rsidR="0049059E" w:rsidRPr="007438FE" w:rsidRDefault="0070433E" w:rsidP="0049059E">
      <w:pPr>
        <w:pStyle w:val="Default"/>
        <w:numPr>
          <w:ilvl w:val="0"/>
          <w:numId w:val="5"/>
        </w:numPr>
        <w:rPr>
          <w:color w:val="auto"/>
          <w:sz w:val="22"/>
          <w:lang w:val="cs-CZ"/>
        </w:rPr>
      </w:pPr>
      <w:r w:rsidRPr="004E7438">
        <w:rPr>
          <w:color w:val="auto"/>
          <w:sz w:val="22"/>
          <w:lang w:val="cs-CZ"/>
        </w:rPr>
        <w:t xml:space="preserve">urychlení </w:t>
      </w:r>
      <w:r w:rsidR="00BF577B" w:rsidRPr="004E7438">
        <w:rPr>
          <w:color w:val="auto"/>
          <w:sz w:val="22"/>
          <w:lang w:val="cs-CZ"/>
        </w:rPr>
        <w:t xml:space="preserve">a zpřesnění </w:t>
      </w:r>
      <w:r w:rsidRPr="004E7438">
        <w:rPr>
          <w:color w:val="auto"/>
          <w:sz w:val="22"/>
          <w:lang w:val="cs-CZ"/>
        </w:rPr>
        <w:t>p</w:t>
      </w:r>
      <w:r w:rsidR="001529AD" w:rsidRPr="004E7438">
        <w:rPr>
          <w:color w:val="auto"/>
          <w:sz w:val="22"/>
          <w:lang w:val="cs-CZ"/>
        </w:rPr>
        <w:t>roces</w:t>
      </w:r>
      <w:r w:rsidR="00BF577B" w:rsidRPr="004E7438">
        <w:rPr>
          <w:color w:val="auto"/>
          <w:sz w:val="22"/>
          <w:lang w:val="cs-CZ"/>
        </w:rPr>
        <w:t>u</w:t>
      </w:r>
      <w:r w:rsidR="001529AD" w:rsidRPr="004E7438">
        <w:rPr>
          <w:color w:val="auto"/>
          <w:sz w:val="22"/>
          <w:lang w:val="cs-CZ"/>
        </w:rPr>
        <w:t xml:space="preserve"> stanovení diagnózy </w:t>
      </w:r>
      <w:r w:rsidR="00433D80" w:rsidRPr="004E7438">
        <w:rPr>
          <w:color w:val="auto"/>
          <w:sz w:val="22"/>
          <w:szCs w:val="22"/>
          <w:lang w:val="cs-CZ"/>
        </w:rPr>
        <w:t>použitím objektivního, kvantitativního, přesného a konzistentního diagnostického nástroje</w:t>
      </w:r>
    </w:p>
    <w:p w14:paraId="21199CF2" w14:textId="3C7F3AF0" w:rsidR="007438FE" w:rsidRPr="007438FE" w:rsidRDefault="007438FE" w:rsidP="0049059E">
      <w:pPr>
        <w:pStyle w:val="Default"/>
        <w:numPr>
          <w:ilvl w:val="0"/>
          <w:numId w:val="5"/>
        </w:numPr>
        <w:rPr>
          <w:color w:val="auto"/>
          <w:sz w:val="22"/>
          <w:lang w:val="cs-CZ"/>
        </w:rPr>
      </w:pPr>
      <w:r>
        <w:rPr>
          <w:color w:val="auto"/>
          <w:sz w:val="22"/>
          <w:szCs w:val="22"/>
          <w:lang w:val="cs-CZ"/>
        </w:rPr>
        <w:t>snížení zátěže lůžek akutní péče</w:t>
      </w:r>
    </w:p>
    <w:p w14:paraId="6B365B5D" w14:textId="77777777" w:rsidR="007438FE" w:rsidRDefault="007438FE" w:rsidP="007438FE">
      <w:pPr>
        <w:pStyle w:val="Default"/>
        <w:rPr>
          <w:color w:val="auto"/>
          <w:sz w:val="22"/>
          <w:szCs w:val="22"/>
          <w:lang w:val="cs-CZ"/>
        </w:rPr>
      </w:pPr>
    </w:p>
    <w:p w14:paraId="257A96DE" w14:textId="2238AD7D" w:rsidR="007438FE" w:rsidRPr="004E7438" w:rsidRDefault="007438FE" w:rsidP="007438FE">
      <w:pPr>
        <w:pStyle w:val="Default"/>
        <w:rPr>
          <w:color w:val="auto"/>
          <w:sz w:val="22"/>
          <w:lang w:val="cs-CZ"/>
        </w:rPr>
      </w:pPr>
      <w:r>
        <w:rPr>
          <w:color w:val="auto"/>
          <w:sz w:val="22"/>
          <w:szCs w:val="22"/>
          <w:lang w:val="cs-CZ"/>
        </w:rPr>
        <w:t>Přínosy uvedení testu do praxe ve výhledu:</w:t>
      </w:r>
    </w:p>
    <w:p w14:paraId="113E4A86" w14:textId="0A0316B3" w:rsidR="0049059E" w:rsidRPr="004E7438" w:rsidRDefault="0070433E" w:rsidP="0049059E">
      <w:pPr>
        <w:pStyle w:val="Default"/>
        <w:numPr>
          <w:ilvl w:val="0"/>
          <w:numId w:val="5"/>
        </w:numPr>
        <w:rPr>
          <w:color w:val="auto"/>
          <w:sz w:val="22"/>
          <w:lang w:val="cs-CZ"/>
        </w:rPr>
      </w:pPr>
      <w:r w:rsidRPr="004E7438">
        <w:rPr>
          <w:color w:val="auto"/>
          <w:sz w:val="22"/>
          <w:lang w:val="cs-CZ"/>
        </w:rPr>
        <w:t>sn</w:t>
      </w:r>
      <w:r w:rsidR="00BF577B" w:rsidRPr="004E7438">
        <w:rPr>
          <w:color w:val="auto"/>
          <w:sz w:val="22"/>
          <w:lang w:val="cs-CZ"/>
        </w:rPr>
        <w:t>ížení</w:t>
      </w:r>
      <w:r w:rsidRPr="004E7438">
        <w:rPr>
          <w:color w:val="auto"/>
          <w:sz w:val="22"/>
          <w:lang w:val="cs-CZ"/>
        </w:rPr>
        <w:t xml:space="preserve"> r</w:t>
      </w:r>
      <w:r w:rsidR="001529AD" w:rsidRPr="004E7438">
        <w:rPr>
          <w:color w:val="auto"/>
          <w:sz w:val="22"/>
          <w:lang w:val="cs-CZ"/>
        </w:rPr>
        <w:t xml:space="preserve">adiační expozice pacientů </w:t>
      </w:r>
      <w:r w:rsidRPr="004E7438">
        <w:rPr>
          <w:color w:val="auto"/>
          <w:sz w:val="22"/>
          <w:lang w:val="cs-CZ"/>
        </w:rPr>
        <w:t>i</w:t>
      </w:r>
      <w:r w:rsidR="001529AD" w:rsidRPr="004E7438">
        <w:rPr>
          <w:color w:val="auto"/>
          <w:sz w:val="22"/>
          <w:lang w:val="cs-CZ"/>
        </w:rPr>
        <w:t xml:space="preserve"> personálu</w:t>
      </w:r>
    </w:p>
    <w:p w14:paraId="4B3FF110" w14:textId="6D911D59" w:rsidR="00515950" w:rsidRPr="004E7438" w:rsidRDefault="0070433E" w:rsidP="0049059E">
      <w:pPr>
        <w:pStyle w:val="Default"/>
        <w:numPr>
          <w:ilvl w:val="0"/>
          <w:numId w:val="5"/>
        </w:numPr>
        <w:rPr>
          <w:color w:val="auto"/>
          <w:sz w:val="22"/>
          <w:lang w:val="cs-CZ"/>
        </w:rPr>
      </w:pPr>
      <w:r w:rsidRPr="004E7438">
        <w:rPr>
          <w:color w:val="auto"/>
          <w:sz w:val="22"/>
          <w:lang w:val="cs-CZ"/>
        </w:rPr>
        <w:t xml:space="preserve">uvolnění </w:t>
      </w:r>
      <w:r w:rsidR="009F0022">
        <w:rPr>
          <w:color w:val="auto"/>
          <w:sz w:val="22"/>
          <w:lang w:val="cs-CZ"/>
        </w:rPr>
        <w:t>k</w:t>
      </w:r>
      <w:r w:rsidRPr="004E7438">
        <w:rPr>
          <w:color w:val="auto"/>
          <w:sz w:val="22"/>
          <w:lang w:val="cs-CZ"/>
        </w:rPr>
        <w:t xml:space="preserve">apacity CT vyšetření pro </w:t>
      </w:r>
      <w:r w:rsidR="001529AD" w:rsidRPr="004E7438">
        <w:rPr>
          <w:color w:val="auto"/>
          <w:sz w:val="22"/>
          <w:lang w:val="cs-CZ"/>
        </w:rPr>
        <w:t>ostatní</w:t>
      </w:r>
      <w:r w:rsidRPr="004E7438">
        <w:rPr>
          <w:color w:val="auto"/>
          <w:sz w:val="22"/>
          <w:lang w:val="cs-CZ"/>
        </w:rPr>
        <w:t xml:space="preserve"> </w:t>
      </w:r>
      <w:r w:rsidR="001529AD" w:rsidRPr="004E7438">
        <w:rPr>
          <w:color w:val="auto"/>
          <w:sz w:val="22"/>
          <w:lang w:val="cs-CZ"/>
        </w:rPr>
        <w:t>indikovan</w:t>
      </w:r>
      <w:r w:rsidRPr="004E7438">
        <w:rPr>
          <w:color w:val="auto"/>
          <w:sz w:val="22"/>
          <w:lang w:val="cs-CZ"/>
        </w:rPr>
        <w:t xml:space="preserve">é </w:t>
      </w:r>
      <w:r w:rsidR="001529AD" w:rsidRPr="004E7438">
        <w:rPr>
          <w:color w:val="auto"/>
          <w:sz w:val="22"/>
          <w:lang w:val="cs-CZ"/>
        </w:rPr>
        <w:t>případ</w:t>
      </w:r>
      <w:r w:rsidRPr="004E7438">
        <w:rPr>
          <w:color w:val="auto"/>
          <w:sz w:val="22"/>
          <w:lang w:val="cs-CZ"/>
        </w:rPr>
        <w:t>y</w:t>
      </w:r>
    </w:p>
    <w:p w14:paraId="4D5ABB10" w14:textId="27E68712" w:rsidR="00515950" w:rsidRPr="004E7438" w:rsidRDefault="0070433E" w:rsidP="0049059E">
      <w:pPr>
        <w:pStyle w:val="Default"/>
        <w:numPr>
          <w:ilvl w:val="0"/>
          <w:numId w:val="5"/>
        </w:numPr>
        <w:rPr>
          <w:color w:val="auto"/>
          <w:sz w:val="22"/>
          <w:lang w:val="cs-CZ"/>
        </w:rPr>
      </w:pPr>
      <w:r w:rsidRPr="004E7438">
        <w:rPr>
          <w:color w:val="auto"/>
          <w:sz w:val="22"/>
          <w:lang w:val="cs-CZ"/>
        </w:rPr>
        <w:t>s</w:t>
      </w:r>
      <w:r w:rsidR="001529AD" w:rsidRPr="004E7438">
        <w:rPr>
          <w:color w:val="auto"/>
          <w:sz w:val="22"/>
          <w:lang w:val="cs-CZ"/>
        </w:rPr>
        <w:t>nížení nákladů na zdravotní péči</w:t>
      </w:r>
      <w:r w:rsidR="000F76FD" w:rsidRPr="004E7438">
        <w:rPr>
          <w:color w:val="auto"/>
          <w:sz w:val="22"/>
          <w:szCs w:val="22"/>
          <w:lang w:val="cs-CZ"/>
        </w:rPr>
        <w:t xml:space="preserve"> </w:t>
      </w:r>
      <w:r w:rsidR="00FB3C4A" w:rsidRPr="004E7438">
        <w:rPr>
          <w:color w:val="auto"/>
          <w:sz w:val="22"/>
          <w:szCs w:val="22"/>
          <w:lang w:val="cs-CZ"/>
        </w:rPr>
        <w:t xml:space="preserve">pacienta </w:t>
      </w:r>
      <w:r w:rsidR="000F76FD" w:rsidRPr="004E7438">
        <w:rPr>
          <w:color w:val="auto"/>
          <w:sz w:val="22"/>
          <w:szCs w:val="22"/>
          <w:lang w:val="cs-CZ"/>
        </w:rPr>
        <w:t>spojené se zkrácením doby pobytu a sníženými nároky na čas personálu urgentního příjmu a radiologie</w:t>
      </w:r>
    </w:p>
    <w:p w14:paraId="2232F252" w14:textId="5436E0DF" w:rsidR="009B483B" w:rsidRPr="004E7438" w:rsidRDefault="009B483B" w:rsidP="009B483B">
      <w:pPr>
        <w:pStyle w:val="Default"/>
        <w:rPr>
          <w:color w:val="auto"/>
          <w:sz w:val="22"/>
          <w:szCs w:val="22"/>
          <w:lang w:val="cs-CZ"/>
        </w:rPr>
      </w:pPr>
    </w:p>
    <w:p w14:paraId="585D9B8F" w14:textId="1A25A0E8" w:rsidR="00E454BD" w:rsidRPr="004E7438" w:rsidRDefault="00E454BD" w:rsidP="009B483B">
      <w:pPr>
        <w:pStyle w:val="Default"/>
        <w:rPr>
          <w:color w:val="auto"/>
          <w:sz w:val="22"/>
          <w:szCs w:val="22"/>
          <w:lang w:val="cs-CZ"/>
        </w:rPr>
      </w:pPr>
    </w:p>
    <w:p w14:paraId="309AA399" w14:textId="3782EAB7" w:rsidR="00E454BD" w:rsidRPr="004E7438" w:rsidRDefault="00E454BD" w:rsidP="009B483B">
      <w:pPr>
        <w:pStyle w:val="Default"/>
        <w:rPr>
          <w:color w:val="auto"/>
          <w:sz w:val="22"/>
          <w:szCs w:val="22"/>
          <w:lang w:val="cs-CZ"/>
        </w:rPr>
      </w:pPr>
    </w:p>
    <w:p w14:paraId="347348EC" w14:textId="45C1426D" w:rsidR="00E454BD" w:rsidRPr="004E7438" w:rsidRDefault="00E454BD" w:rsidP="009B483B">
      <w:pPr>
        <w:pStyle w:val="Default"/>
        <w:rPr>
          <w:color w:val="auto"/>
          <w:sz w:val="22"/>
          <w:szCs w:val="22"/>
          <w:lang w:val="cs-CZ"/>
        </w:rPr>
      </w:pPr>
    </w:p>
    <w:p w14:paraId="221E2E62" w14:textId="7AE636D2" w:rsidR="00E454BD" w:rsidRPr="004E7438" w:rsidRDefault="00E454BD" w:rsidP="009B483B">
      <w:pPr>
        <w:pStyle w:val="Default"/>
        <w:rPr>
          <w:color w:val="auto"/>
          <w:sz w:val="22"/>
          <w:szCs w:val="22"/>
          <w:lang w:val="cs-CZ"/>
        </w:rPr>
      </w:pPr>
    </w:p>
    <w:p w14:paraId="6CD21298" w14:textId="5220383F" w:rsidR="00E454BD" w:rsidRPr="004E7438" w:rsidRDefault="00E454BD" w:rsidP="009B483B">
      <w:pPr>
        <w:pStyle w:val="Default"/>
        <w:rPr>
          <w:color w:val="auto"/>
          <w:sz w:val="22"/>
          <w:szCs w:val="22"/>
          <w:lang w:val="cs-CZ"/>
        </w:rPr>
      </w:pPr>
    </w:p>
    <w:p w14:paraId="391A996F" w14:textId="4C7D1B47" w:rsidR="00E454BD" w:rsidRPr="004E7438" w:rsidRDefault="00E454BD" w:rsidP="009B483B">
      <w:pPr>
        <w:pStyle w:val="Default"/>
        <w:rPr>
          <w:color w:val="auto"/>
          <w:sz w:val="22"/>
          <w:szCs w:val="22"/>
          <w:lang w:val="cs-CZ"/>
        </w:rPr>
      </w:pPr>
    </w:p>
    <w:p w14:paraId="768C5878" w14:textId="012AE018" w:rsidR="00E454BD" w:rsidRPr="004E7438" w:rsidRDefault="00E454BD" w:rsidP="009B483B">
      <w:pPr>
        <w:pStyle w:val="Default"/>
        <w:rPr>
          <w:color w:val="auto"/>
          <w:sz w:val="22"/>
          <w:szCs w:val="22"/>
          <w:lang w:val="cs-CZ"/>
        </w:rPr>
      </w:pPr>
    </w:p>
    <w:p w14:paraId="64E3ACCB" w14:textId="0D68CACE" w:rsidR="00E454BD" w:rsidRPr="004E7438" w:rsidRDefault="00E454BD" w:rsidP="009B483B">
      <w:pPr>
        <w:pStyle w:val="Default"/>
        <w:rPr>
          <w:color w:val="auto"/>
          <w:sz w:val="22"/>
          <w:szCs w:val="22"/>
          <w:lang w:val="cs-CZ"/>
        </w:rPr>
      </w:pPr>
    </w:p>
    <w:p w14:paraId="083904BA" w14:textId="0E76F66A" w:rsidR="00E454BD" w:rsidRPr="004E7438" w:rsidRDefault="00E454BD" w:rsidP="009B483B">
      <w:pPr>
        <w:pStyle w:val="Default"/>
        <w:rPr>
          <w:color w:val="auto"/>
          <w:sz w:val="22"/>
          <w:szCs w:val="22"/>
          <w:lang w:val="cs-CZ"/>
        </w:rPr>
      </w:pPr>
    </w:p>
    <w:p w14:paraId="04D805BF" w14:textId="6E611D91" w:rsidR="00E454BD" w:rsidRPr="004E7438" w:rsidRDefault="00E454BD" w:rsidP="009B483B">
      <w:pPr>
        <w:pStyle w:val="Default"/>
        <w:rPr>
          <w:color w:val="auto"/>
          <w:sz w:val="22"/>
          <w:szCs w:val="22"/>
          <w:lang w:val="cs-CZ"/>
        </w:rPr>
      </w:pPr>
    </w:p>
    <w:p w14:paraId="1EB831D3" w14:textId="1B5C1FBB" w:rsidR="00E454BD" w:rsidRPr="004E7438" w:rsidRDefault="00E454BD" w:rsidP="009B483B">
      <w:pPr>
        <w:pStyle w:val="Default"/>
        <w:rPr>
          <w:color w:val="auto"/>
          <w:sz w:val="22"/>
          <w:szCs w:val="22"/>
          <w:lang w:val="cs-CZ"/>
        </w:rPr>
      </w:pPr>
    </w:p>
    <w:p w14:paraId="383A05A0" w14:textId="24F6A9E9" w:rsidR="00E454BD" w:rsidRPr="004E7438" w:rsidRDefault="00E454BD" w:rsidP="009B483B">
      <w:pPr>
        <w:pStyle w:val="Default"/>
        <w:rPr>
          <w:color w:val="auto"/>
          <w:sz w:val="22"/>
          <w:szCs w:val="22"/>
          <w:lang w:val="cs-CZ"/>
        </w:rPr>
      </w:pPr>
    </w:p>
    <w:p w14:paraId="25E120DE" w14:textId="48B6BA97" w:rsidR="00E454BD" w:rsidRPr="004E7438" w:rsidRDefault="00E454BD" w:rsidP="009B483B">
      <w:pPr>
        <w:pStyle w:val="Default"/>
        <w:rPr>
          <w:color w:val="auto"/>
          <w:sz w:val="22"/>
          <w:szCs w:val="22"/>
          <w:lang w:val="cs-CZ"/>
        </w:rPr>
      </w:pPr>
    </w:p>
    <w:p w14:paraId="38DA2743" w14:textId="0AB70E26" w:rsidR="00E454BD" w:rsidRPr="004E7438" w:rsidRDefault="00E454BD" w:rsidP="009B7C8C">
      <w:pPr>
        <w:pStyle w:val="Nadpis1"/>
        <w:pageBreakBefore/>
        <w:rPr>
          <w:lang w:val="cs-CZ"/>
        </w:rPr>
      </w:pPr>
      <w:bookmarkStart w:id="32" w:name="_Toc174350738"/>
      <w:r w:rsidRPr="004E7438">
        <w:rPr>
          <w:lang w:val="cs-CZ"/>
        </w:rPr>
        <w:lastRenderedPageBreak/>
        <w:t>Odkazy</w:t>
      </w:r>
      <w:bookmarkEnd w:id="32"/>
    </w:p>
    <w:p w14:paraId="3EA7E1F1" w14:textId="77777777" w:rsidR="0070433E" w:rsidRPr="004E7438" w:rsidRDefault="0070433E" w:rsidP="0070433E">
      <w:pPr>
        <w:pStyle w:val="Default"/>
        <w:numPr>
          <w:ilvl w:val="0"/>
          <w:numId w:val="7"/>
        </w:numPr>
        <w:rPr>
          <w:sz w:val="22"/>
          <w:szCs w:val="22"/>
          <w:lang w:val="cs-CZ"/>
        </w:rPr>
      </w:pPr>
      <w:r w:rsidRPr="004E7438">
        <w:rPr>
          <w:sz w:val="22"/>
          <w:szCs w:val="22"/>
          <w:lang w:val="cs-CZ"/>
        </w:rPr>
        <w:t xml:space="preserve">Nguyen R, Fiest KM, McChesney J, et al. International incidence of traumatic brain injury: A systematic review and meta-analysis. </w:t>
      </w:r>
      <w:r w:rsidRPr="004E7438">
        <w:rPr>
          <w:i/>
          <w:iCs/>
          <w:sz w:val="22"/>
          <w:szCs w:val="22"/>
          <w:lang w:val="cs-CZ"/>
        </w:rPr>
        <w:t>Can J Neurol Sci</w:t>
      </w:r>
      <w:r w:rsidRPr="004E7438">
        <w:rPr>
          <w:sz w:val="22"/>
          <w:szCs w:val="22"/>
          <w:lang w:val="cs-CZ"/>
        </w:rPr>
        <w:t>. November 2016; 43(6</w:t>
      </w:r>
      <w:proofErr w:type="gramStart"/>
      <w:r w:rsidRPr="004E7438">
        <w:rPr>
          <w:sz w:val="22"/>
          <w:szCs w:val="22"/>
          <w:lang w:val="cs-CZ"/>
        </w:rPr>
        <w:t>):774-785.doi</w:t>
      </w:r>
      <w:proofErr w:type="gramEnd"/>
      <w:r w:rsidRPr="004E7438">
        <w:rPr>
          <w:sz w:val="22"/>
          <w:szCs w:val="22"/>
          <w:lang w:val="cs-CZ"/>
        </w:rPr>
        <w:t>:10.1017/cjn.2016.290</w:t>
      </w:r>
    </w:p>
    <w:p w14:paraId="4993A3FB" w14:textId="77777777" w:rsidR="0070433E" w:rsidRPr="004E7438" w:rsidRDefault="0070433E" w:rsidP="0070433E">
      <w:pPr>
        <w:pStyle w:val="Default"/>
        <w:numPr>
          <w:ilvl w:val="0"/>
          <w:numId w:val="7"/>
        </w:numPr>
        <w:rPr>
          <w:sz w:val="22"/>
          <w:szCs w:val="22"/>
          <w:lang w:val="cs-CZ"/>
        </w:rPr>
      </w:pPr>
      <w:r w:rsidRPr="004E7438">
        <w:rPr>
          <w:sz w:val="22"/>
          <w:szCs w:val="22"/>
          <w:lang w:val="cs-CZ"/>
        </w:rPr>
        <w:t xml:space="preserve">Petridou ET AC. Epidemiology of injuries. </w:t>
      </w:r>
      <w:r w:rsidRPr="004E7438">
        <w:rPr>
          <w:i/>
          <w:iCs/>
          <w:sz w:val="22"/>
          <w:szCs w:val="22"/>
          <w:lang w:val="cs-CZ"/>
        </w:rPr>
        <w:t xml:space="preserve">International Public Health Encyclopedia Elservier </w:t>
      </w:r>
      <w:r w:rsidRPr="004E7438">
        <w:rPr>
          <w:sz w:val="22"/>
          <w:szCs w:val="22"/>
          <w:lang w:val="cs-CZ"/>
        </w:rPr>
        <w:t>Inc.2016:258-274. doi:10.1016/B978-0-12-803678-5.00233-2</w:t>
      </w:r>
    </w:p>
    <w:p w14:paraId="4006AE53" w14:textId="77777777" w:rsidR="0070433E" w:rsidRPr="004E7438" w:rsidRDefault="0070433E" w:rsidP="0070433E">
      <w:pPr>
        <w:pStyle w:val="Default"/>
        <w:numPr>
          <w:ilvl w:val="0"/>
          <w:numId w:val="7"/>
        </w:numPr>
        <w:rPr>
          <w:sz w:val="22"/>
          <w:szCs w:val="22"/>
          <w:lang w:val="cs-CZ"/>
        </w:rPr>
      </w:pPr>
      <w:r w:rsidRPr="004E7438">
        <w:rPr>
          <w:sz w:val="22"/>
          <w:szCs w:val="22"/>
          <w:lang w:val="cs-CZ"/>
        </w:rPr>
        <w:t xml:space="preserve">Vos PE, Alekseenko Y, Battistin L, et al. Mild traumatic brain injury. </w:t>
      </w:r>
      <w:r w:rsidRPr="004E7438">
        <w:rPr>
          <w:i/>
          <w:iCs/>
          <w:sz w:val="22"/>
          <w:szCs w:val="22"/>
          <w:lang w:val="cs-CZ"/>
        </w:rPr>
        <w:t>Eur J Neurol</w:t>
      </w:r>
      <w:r w:rsidRPr="004E7438">
        <w:rPr>
          <w:sz w:val="22"/>
          <w:szCs w:val="22"/>
          <w:lang w:val="cs-CZ"/>
        </w:rPr>
        <w:t>. February 2012; 19(2):191-8. doi:10.1111/j.1468-1331.2011.03581.x</w:t>
      </w:r>
    </w:p>
    <w:p w14:paraId="5B5A6D55" w14:textId="77777777" w:rsidR="0070433E" w:rsidRPr="004E7438" w:rsidRDefault="0070433E" w:rsidP="0070433E">
      <w:pPr>
        <w:pStyle w:val="Default"/>
        <w:numPr>
          <w:ilvl w:val="0"/>
          <w:numId w:val="7"/>
        </w:numPr>
        <w:rPr>
          <w:sz w:val="22"/>
          <w:szCs w:val="22"/>
          <w:lang w:val="cs-CZ"/>
        </w:rPr>
      </w:pPr>
      <w:r w:rsidRPr="004E7438">
        <w:rPr>
          <w:sz w:val="22"/>
          <w:szCs w:val="22"/>
          <w:lang w:val="cs-CZ"/>
        </w:rPr>
        <w:t xml:space="preserve">Ganti L, Stead T, Daneshvar Y, et al. GCS 15: when mild TBI is not so mild. </w:t>
      </w:r>
      <w:r w:rsidRPr="004E7438">
        <w:rPr>
          <w:i/>
          <w:iCs/>
          <w:sz w:val="22"/>
          <w:szCs w:val="22"/>
          <w:lang w:val="cs-CZ"/>
        </w:rPr>
        <w:t xml:space="preserve">Neurol Res </w:t>
      </w:r>
      <w:r w:rsidRPr="004E7438">
        <w:rPr>
          <w:sz w:val="22"/>
          <w:szCs w:val="22"/>
          <w:lang w:val="cs-CZ"/>
        </w:rPr>
        <w:t>Pract.2019;1:6. doi:10.1186/s42466-018-0001-1</w:t>
      </w:r>
    </w:p>
    <w:p w14:paraId="37214526" w14:textId="77777777" w:rsidR="0070433E" w:rsidRPr="004E7438" w:rsidRDefault="0070433E" w:rsidP="0070433E">
      <w:pPr>
        <w:pStyle w:val="Default"/>
        <w:numPr>
          <w:ilvl w:val="0"/>
          <w:numId w:val="7"/>
        </w:numPr>
        <w:rPr>
          <w:sz w:val="22"/>
          <w:szCs w:val="22"/>
          <w:lang w:val="cs-CZ"/>
        </w:rPr>
      </w:pPr>
      <w:r w:rsidRPr="004E7438">
        <w:rPr>
          <w:sz w:val="22"/>
          <w:szCs w:val="22"/>
          <w:lang w:val="cs-CZ"/>
        </w:rPr>
        <w:t xml:space="preserve">Yuh EL, Mukherjee P, Lingsma HF, et al. Magnetic resonance imaging improves the prediction of </w:t>
      </w:r>
      <w:proofErr w:type="gramStart"/>
      <w:r w:rsidRPr="004E7438">
        <w:rPr>
          <w:sz w:val="22"/>
          <w:szCs w:val="22"/>
          <w:lang w:val="cs-CZ"/>
        </w:rPr>
        <w:t>3-month</w:t>
      </w:r>
      <w:proofErr w:type="gramEnd"/>
      <w:r w:rsidRPr="004E7438">
        <w:rPr>
          <w:sz w:val="22"/>
          <w:szCs w:val="22"/>
          <w:lang w:val="cs-CZ"/>
        </w:rPr>
        <w:t xml:space="preserve"> outcome in mild traumatic brain injury. </w:t>
      </w:r>
      <w:r w:rsidRPr="004E7438">
        <w:rPr>
          <w:i/>
          <w:iCs/>
          <w:sz w:val="22"/>
          <w:szCs w:val="22"/>
          <w:lang w:val="cs-CZ"/>
        </w:rPr>
        <w:t>Ann Neurol</w:t>
      </w:r>
      <w:r w:rsidRPr="004E7438">
        <w:rPr>
          <w:sz w:val="22"/>
          <w:szCs w:val="22"/>
          <w:lang w:val="cs-CZ"/>
        </w:rPr>
        <w:t>. February 2013; 73(2</w:t>
      </w:r>
      <w:proofErr w:type="gramStart"/>
      <w:r w:rsidRPr="004E7438">
        <w:rPr>
          <w:sz w:val="22"/>
          <w:szCs w:val="22"/>
          <w:lang w:val="cs-CZ"/>
        </w:rPr>
        <w:t>):224-35.doi</w:t>
      </w:r>
      <w:proofErr w:type="gramEnd"/>
      <w:r w:rsidRPr="004E7438">
        <w:rPr>
          <w:sz w:val="22"/>
          <w:szCs w:val="22"/>
          <w:lang w:val="cs-CZ"/>
        </w:rPr>
        <w:t>:10.1002/ana.23783</w:t>
      </w:r>
    </w:p>
    <w:p w14:paraId="12669288" w14:textId="77777777" w:rsidR="0070433E" w:rsidRPr="004E7438" w:rsidRDefault="0070433E" w:rsidP="0070433E">
      <w:pPr>
        <w:pStyle w:val="Default"/>
        <w:numPr>
          <w:ilvl w:val="0"/>
          <w:numId w:val="7"/>
        </w:numPr>
        <w:rPr>
          <w:sz w:val="22"/>
          <w:szCs w:val="22"/>
          <w:lang w:val="cs-CZ"/>
        </w:rPr>
      </w:pPr>
      <w:r w:rsidRPr="004E7438">
        <w:rPr>
          <w:sz w:val="22"/>
          <w:szCs w:val="22"/>
          <w:lang w:val="cs-CZ"/>
        </w:rPr>
        <w:t xml:space="preserve">Cervellin G, Benatti M, Carbucicchio A, et al. Serum levels of protein S100B predict intracraniallesis in mild head injury. </w:t>
      </w:r>
      <w:r w:rsidRPr="004E7438">
        <w:rPr>
          <w:i/>
          <w:iCs/>
          <w:sz w:val="22"/>
          <w:szCs w:val="22"/>
          <w:lang w:val="cs-CZ"/>
        </w:rPr>
        <w:t>Clin Biochem</w:t>
      </w:r>
      <w:r w:rsidRPr="004E7438">
        <w:rPr>
          <w:sz w:val="22"/>
          <w:szCs w:val="22"/>
          <w:lang w:val="cs-CZ"/>
        </w:rPr>
        <w:t>. April 2012; 45(6</w:t>
      </w:r>
      <w:proofErr w:type="gramStart"/>
      <w:r w:rsidRPr="004E7438">
        <w:rPr>
          <w:sz w:val="22"/>
          <w:szCs w:val="22"/>
          <w:lang w:val="cs-CZ"/>
        </w:rPr>
        <w:t>):408-11.doi</w:t>
      </w:r>
      <w:proofErr w:type="gramEnd"/>
      <w:r w:rsidRPr="004E7438">
        <w:rPr>
          <w:sz w:val="22"/>
          <w:szCs w:val="22"/>
          <w:lang w:val="cs-CZ"/>
        </w:rPr>
        <w:t>:10.1016/j.clinbiochem.2012.01.006</w:t>
      </w:r>
    </w:p>
    <w:p w14:paraId="04102914" w14:textId="77777777" w:rsidR="0070433E" w:rsidRPr="004E7438" w:rsidRDefault="0070433E" w:rsidP="0070433E">
      <w:pPr>
        <w:pStyle w:val="Default"/>
        <w:numPr>
          <w:ilvl w:val="0"/>
          <w:numId w:val="7"/>
        </w:numPr>
        <w:rPr>
          <w:sz w:val="22"/>
          <w:szCs w:val="22"/>
          <w:lang w:val="cs-CZ"/>
        </w:rPr>
      </w:pPr>
      <w:r w:rsidRPr="004E7438">
        <w:rPr>
          <w:sz w:val="22"/>
          <w:szCs w:val="22"/>
          <w:lang w:val="cs-CZ"/>
        </w:rPr>
        <w:t>Mondello, S., et al. (2021). "Blood-Based Protein Biomarkers for the Management of Traumatic Brain Injuries in Adults Presenting to Emergency Departments with Mild Brain Injury: A Living Systematic Review and Meta-Analysis." J Neurotrauma 38(8): 1086-1106.</w:t>
      </w:r>
    </w:p>
    <w:p w14:paraId="7B04842F" w14:textId="77777777" w:rsidR="0070433E" w:rsidRPr="004E7438" w:rsidRDefault="0070433E" w:rsidP="0070433E">
      <w:pPr>
        <w:pStyle w:val="Default"/>
        <w:numPr>
          <w:ilvl w:val="0"/>
          <w:numId w:val="7"/>
        </w:numPr>
        <w:rPr>
          <w:sz w:val="22"/>
          <w:szCs w:val="22"/>
          <w:lang w:val="cs-CZ"/>
        </w:rPr>
      </w:pPr>
      <w:r w:rsidRPr="004E7438">
        <w:rPr>
          <w:sz w:val="22"/>
          <w:szCs w:val="22"/>
          <w:lang w:val="cs-CZ"/>
        </w:rPr>
        <w:t xml:space="preserve">Egea-Guerrero JJ, Rodríguez-Rodríguez A, Quintana-Díaz M, et al. Validation of the use of S100B in a cohort of Spanish patients with mild traumatic brain injury: a multicenter study. </w:t>
      </w:r>
      <w:r w:rsidRPr="004E7438">
        <w:rPr>
          <w:i/>
          <w:iCs/>
          <w:sz w:val="22"/>
          <w:szCs w:val="22"/>
          <w:lang w:val="cs-CZ"/>
        </w:rPr>
        <w:t xml:space="preserve">Brain </w:t>
      </w:r>
      <w:r w:rsidRPr="004E7438">
        <w:rPr>
          <w:sz w:val="22"/>
          <w:szCs w:val="22"/>
          <w:lang w:val="cs-CZ"/>
        </w:rPr>
        <w:t>Inj.2018; 32(4):459-463. doi:10.1080/02699052.2018.1429019</w:t>
      </w:r>
    </w:p>
    <w:p w14:paraId="774FE772" w14:textId="77777777" w:rsidR="0070433E" w:rsidRPr="004E7438" w:rsidRDefault="0070433E" w:rsidP="0070433E">
      <w:pPr>
        <w:pStyle w:val="Default"/>
        <w:numPr>
          <w:ilvl w:val="0"/>
          <w:numId w:val="7"/>
        </w:numPr>
        <w:rPr>
          <w:sz w:val="22"/>
          <w:szCs w:val="22"/>
          <w:lang w:val="cs-CZ"/>
        </w:rPr>
      </w:pPr>
      <w:r w:rsidRPr="004E7438">
        <w:rPr>
          <w:sz w:val="22"/>
          <w:szCs w:val="22"/>
          <w:lang w:val="cs-CZ"/>
        </w:rPr>
        <w:t xml:space="preserve">Bazarian JJ, Blyth BJ, He H, et al. Accuracy of Apo A-I and S100B serum classification for the diagnosis of mild traumatic brain injury and prediction of abnormal initial computed tomography examination of the head. </w:t>
      </w:r>
      <w:r w:rsidRPr="004E7438">
        <w:rPr>
          <w:i/>
          <w:iCs/>
          <w:sz w:val="22"/>
          <w:szCs w:val="22"/>
          <w:lang w:val="cs-CZ"/>
        </w:rPr>
        <w:t>J Neurotrauma</w:t>
      </w:r>
      <w:r w:rsidRPr="004E7438">
        <w:rPr>
          <w:sz w:val="22"/>
          <w:szCs w:val="22"/>
          <w:lang w:val="cs-CZ"/>
        </w:rPr>
        <w:t>. October 15, 2013; 30(20):1747-54. doi:10.1089/neu.2013.2853</w:t>
      </w:r>
    </w:p>
    <w:p w14:paraId="4F6F01AA" w14:textId="77777777" w:rsidR="0070433E" w:rsidRPr="004E7438" w:rsidRDefault="0070433E" w:rsidP="0070433E">
      <w:pPr>
        <w:pStyle w:val="Default"/>
        <w:numPr>
          <w:ilvl w:val="0"/>
          <w:numId w:val="7"/>
        </w:numPr>
        <w:rPr>
          <w:sz w:val="22"/>
          <w:szCs w:val="22"/>
          <w:lang w:val="cs-CZ"/>
        </w:rPr>
      </w:pPr>
      <w:r w:rsidRPr="004E7438">
        <w:rPr>
          <w:sz w:val="22"/>
          <w:szCs w:val="22"/>
          <w:lang w:val="cs-CZ"/>
        </w:rPr>
        <w:t xml:space="preserve">Welch RD, Ayaz SI, Lewis LM, et al. Ability of serum glial fibrillary acid protein, ubiquitin C-terminal hydrolase-L1, and S100B to distinguish normal and abnormal head computed tomography findings in patients with suspected mild or moderate traumatic brain injury. </w:t>
      </w:r>
      <w:r w:rsidRPr="004E7438">
        <w:rPr>
          <w:i/>
          <w:iCs/>
          <w:sz w:val="22"/>
          <w:szCs w:val="22"/>
          <w:lang w:val="cs-CZ"/>
        </w:rPr>
        <w:t>JNeurotrauma</w:t>
      </w:r>
      <w:r w:rsidRPr="004E7438">
        <w:rPr>
          <w:sz w:val="22"/>
          <w:szCs w:val="22"/>
          <w:lang w:val="cs-CZ"/>
        </w:rPr>
        <w:t>. January 15, 2016; 33(2):203-14. doi:10.1089/neu.2015.4149</w:t>
      </w:r>
    </w:p>
    <w:p w14:paraId="709FBD55" w14:textId="77777777" w:rsidR="0070433E" w:rsidRPr="004E7438" w:rsidRDefault="0070433E" w:rsidP="0070433E">
      <w:pPr>
        <w:pStyle w:val="Default"/>
        <w:numPr>
          <w:ilvl w:val="0"/>
          <w:numId w:val="7"/>
        </w:numPr>
        <w:rPr>
          <w:sz w:val="22"/>
          <w:szCs w:val="22"/>
          <w:lang w:val="cs-CZ"/>
        </w:rPr>
      </w:pPr>
      <w:r w:rsidRPr="004E7438">
        <w:rPr>
          <w:sz w:val="22"/>
          <w:szCs w:val="22"/>
          <w:lang w:val="cs-CZ"/>
        </w:rPr>
        <w:t xml:space="preserve">Welch RD, Ellis M, Lewis LM, et al. Modeling the kinetics of serum glial fibrillary acidic protein, ubiquitin carboxyl terminal hydrolase-L1, and S100B concentrations in patients with traumatic brain injury. </w:t>
      </w:r>
      <w:r w:rsidRPr="004E7438">
        <w:rPr>
          <w:i/>
          <w:iCs/>
          <w:sz w:val="22"/>
          <w:szCs w:val="22"/>
          <w:lang w:val="cs-CZ"/>
        </w:rPr>
        <w:t>J Neurotrauma</w:t>
      </w:r>
      <w:r w:rsidRPr="004E7438">
        <w:rPr>
          <w:sz w:val="22"/>
          <w:szCs w:val="22"/>
          <w:lang w:val="cs-CZ"/>
        </w:rPr>
        <w:t>. June 1, 2017; 34(11):1957-1971. doi:10.1089/neu.2016.4772</w:t>
      </w:r>
    </w:p>
    <w:p w14:paraId="3B2F5945" w14:textId="77777777" w:rsidR="0070433E" w:rsidRPr="004E7438" w:rsidRDefault="0070433E" w:rsidP="0070433E">
      <w:pPr>
        <w:pStyle w:val="Default"/>
        <w:numPr>
          <w:ilvl w:val="0"/>
          <w:numId w:val="7"/>
        </w:numPr>
        <w:rPr>
          <w:sz w:val="22"/>
          <w:szCs w:val="22"/>
          <w:lang w:val="cs-CZ"/>
        </w:rPr>
      </w:pPr>
      <w:r w:rsidRPr="004E7438">
        <w:rPr>
          <w:rFonts w:asciiTheme="minorHAnsi" w:hAnsiTheme="minorHAnsi" w:cstheme="minorHAnsi"/>
          <w:sz w:val="22"/>
          <w:szCs w:val="18"/>
          <w:lang w:val="cs-CZ"/>
        </w:rPr>
        <w:t xml:space="preserve">Yue JK, Yuh EL, Korley FK, et al. </w:t>
      </w:r>
      <w:r w:rsidRPr="004E7438">
        <w:rPr>
          <w:sz w:val="22"/>
          <w:szCs w:val="22"/>
          <w:lang w:val="cs-CZ"/>
        </w:rPr>
        <w:t xml:space="preserve">Association Between GFAP Plasma Concentrations and MRI Abnormalities in Patients With CT-Negative Traumatic Brain Injury in the TRACK-TBI Cohort: A Prospective Multicenter Study. </w:t>
      </w:r>
      <w:r w:rsidRPr="004E7438">
        <w:rPr>
          <w:i/>
          <w:iCs/>
          <w:sz w:val="22"/>
          <w:szCs w:val="22"/>
          <w:lang w:val="cs-CZ"/>
        </w:rPr>
        <w:t>Lancet Neurol</w:t>
      </w:r>
      <w:r w:rsidRPr="004E7438">
        <w:rPr>
          <w:sz w:val="22"/>
          <w:szCs w:val="22"/>
          <w:lang w:val="cs-CZ"/>
        </w:rPr>
        <w:t>. October 2019; 18(10):953-961. doi:10.1016/s1474-4422(19)30282-0</w:t>
      </w:r>
    </w:p>
    <w:p w14:paraId="22807B6B" w14:textId="77777777" w:rsidR="0070433E" w:rsidRPr="004E7438" w:rsidRDefault="0070433E" w:rsidP="0070433E">
      <w:pPr>
        <w:pStyle w:val="Default"/>
        <w:numPr>
          <w:ilvl w:val="0"/>
          <w:numId w:val="7"/>
        </w:numPr>
        <w:rPr>
          <w:sz w:val="22"/>
          <w:szCs w:val="22"/>
          <w:lang w:val="cs-CZ"/>
        </w:rPr>
      </w:pPr>
      <w:r w:rsidRPr="004E7438">
        <w:rPr>
          <w:sz w:val="22"/>
          <w:szCs w:val="22"/>
          <w:lang w:val="cs-CZ"/>
        </w:rPr>
        <w:t>Okonkwo DO, Puffer RC, Puccio AM, et al. Testing of Blood Biomarkers of the Point-of-Care Glial Platform Fibrillar Acid Protein Versus S100 Calcium-Binding Protein B for Trauma Brain Prediction</w:t>
      </w:r>
    </w:p>
    <w:p w14:paraId="360B790F" w14:textId="77777777" w:rsidR="0070433E" w:rsidRPr="004E7438" w:rsidRDefault="0070433E" w:rsidP="0070433E">
      <w:pPr>
        <w:pStyle w:val="Default"/>
        <w:numPr>
          <w:ilvl w:val="0"/>
          <w:numId w:val="7"/>
        </w:numPr>
        <w:rPr>
          <w:sz w:val="22"/>
          <w:szCs w:val="22"/>
          <w:lang w:val="cs-CZ"/>
        </w:rPr>
      </w:pPr>
      <w:r w:rsidRPr="004E7438">
        <w:rPr>
          <w:sz w:val="22"/>
          <w:szCs w:val="22"/>
          <w:lang w:val="cs-CZ"/>
        </w:rPr>
        <w:t xml:space="preserve">Bazarian J.J., Biberthaler P, Welch RD, et al. Serum GFAP and UCH-L1 for the prediction of the absence of intracranial injuries on the head CT (ALERT-TBI): a multicenter observational study. </w:t>
      </w:r>
      <w:r w:rsidRPr="004E7438">
        <w:rPr>
          <w:i/>
          <w:iCs/>
          <w:sz w:val="22"/>
          <w:szCs w:val="22"/>
          <w:lang w:val="cs-CZ"/>
        </w:rPr>
        <w:t>Lancet Neurol</w:t>
      </w:r>
      <w:r w:rsidRPr="004E7438">
        <w:rPr>
          <w:sz w:val="22"/>
          <w:szCs w:val="22"/>
          <w:lang w:val="cs-CZ"/>
        </w:rPr>
        <w:t>. September 2018; 17(9):782-789. doi:10.1016/s1474-4422(18)</w:t>
      </w:r>
      <w:proofErr w:type="gramStart"/>
      <w:r w:rsidRPr="004E7438">
        <w:rPr>
          <w:sz w:val="22"/>
          <w:szCs w:val="22"/>
          <w:lang w:val="cs-CZ"/>
        </w:rPr>
        <w:t>30231-x15</w:t>
      </w:r>
      <w:proofErr w:type="gramEnd"/>
    </w:p>
    <w:p w14:paraId="71300F56" w14:textId="77777777" w:rsidR="0070433E" w:rsidRPr="004E7438" w:rsidRDefault="0070433E" w:rsidP="0070433E">
      <w:pPr>
        <w:pStyle w:val="Default"/>
        <w:numPr>
          <w:ilvl w:val="0"/>
          <w:numId w:val="7"/>
        </w:numPr>
        <w:rPr>
          <w:sz w:val="22"/>
          <w:szCs w:val="22"/>
          <w:lang w:val="cs-CZ"/>
        </w:rPr>
      </w:pPr>
      <w:r w:rsidRPr="004E7438">
        <w:rPr>
          <w:sz w:val="22"/>
          <w:szCs w:val="22"/>
          <w:lang w:val="cs-CZ"/>
        </w:rPr>
        <w:t xml:space="preserve">Diaz-Arrastia R, Wang K.K., Papa L, et al. Acute biomarkers of traumatic brain injury: relationship between </w:t>
      </w:r>
      <w:proofErr w:type="gramStart"/>
      <w:r w:rsidRPr="004E7438">
        <w:rPr>
          <w:sz w:val="22"/>
          <w:szCs w:val="22"/>
          <w:lang w:val="cs-CZ"/>
        </w:rPr>
        <w:t>plasma</w:t>
      </w:r>
      <w:proofErr w:type="gramEnd"/>
      <w:r w:rsidRPr="004E7438">
        <w:rPr>
          <w:sz w:val="22"/>
          <w:szCs w:val="22"/>
          <w:lang w:val="cs-CZ"/>
        </w:rPr>
        <w:t xml:space="preserve"> levels of ubiquitin C-terminal hydrolase-L1 and glial fibrillary acidic protein. </w:t>
      </w:r>
      <w:r w:rsidRPr="004E7438">
        <w:rPr>
          <w:i/>
          <w:iCs/>
          <w:sz w:val="22"/>
          <w:szCs w:val="22"/>
          <w:lang w:val="cs-CZ"/>
        </w:rPr>
        <w:t>JNeurotrauma</w:t>
      </w:r>
      <w:r w:rsidRPr="004E7438">
        <w:rPr>
          <w:sz w:val="22"/>
          <w:szCs w:val="22"/>
          <w:lang w:val="cs-CZ"/>
        </w:rPr>
        <w:t>. January 1, 2014; 31(1):19-25. doi:10.1089/neu.2013.3040</w:t>
      </w:r>
    </w:p>
    <w:p w14:paraId="5BC93CBE" w14:textId="77777777" w:rsidR="0070433E" w:rsidRPr="004E7438" w:rsidRDefault="0070433E" w:rsidP="0070433E">
      <w:pPr>
        <w:pStyle w:val="Default"/>
        <w:numPr>
          <w:ilvl w:val="0"/>
          <w:numId w:val="7"/>
        </w:numPr>
        <w:contextualSpacing/>
        <w:rPr>
          <w:sz w:val="22"/>
          <w:szCs w:val="22"/>
          <w:lang w:val="cs-CZ"/>
        </w:rPr>
      </w:pPr>
      <w:r w:rsidRPr="004E7438">
        <w:rPr>
          <w:sz w:val="22"/>
          <w:szCs w:val="22"/>
          <w:lang w:val="cs-CZ"/>
        </w:rPr>
        <w:t xml:space="preserve">McCrea M, Broglio SP, McAllister TW, et al. Association of Blood Biomarkers with Sport-Related Acute Concussion in College Athletes: Findings from the NCAA Consortium and the Department </w:t>
      </w:r>
      <w:r w:rsidRPr="004E7438">
        <w:rPr>
          <w:sz w:val="22"/>
          <w:szCs w:val="22"/>
          <w:lang w:val="cs-CZ"/>
        </w:rPr>
        <w:lastRenderedPageBreak/>
        <w:t xml:space="preserve">of Defense. </w:t>
      </w:r>
      <w:r w:rsidRPr="004E7438">
        <w:rPr>
          <w:i/>
          <w:iCs/>
          <w:sz w:val="22"/>
          <w:szCs w:val="22"/>
          <w:lang w:val="cs-CZ"/>
        </w:rPr>
        <w:t xml:space="preserve">JAMA Netw </w:t>
      </w:r>
      <w:r w:rsidRPr="004E7438">
        <w:rPr>
          <w:sz w:val="22"/>
          <w:szCs w:val="22"/>
          <w:lang w:val="cs-CZ"/>
        </w:rPr>
        <w:t>open. January 3, 2020; 3(1</w:t>
      </w:r>
      <w:proofErr w:type="gramStart"/>
      <w:r w:rsidRPr="004E7438">
        <w:rPr>
          <w:sz w:val="22"/>
          <w:szCs w:val="22"/>
          <w:lang w:val="cs-CZ"/>
        </w:rPr>
        <w:t>):e1919771.doi</w:t>
      </w:r>
      <w:proofErr w:type="gramEnd"/>
      <w:r w:rsidRPr="004E7438">
        <w:rPr>
          <w:sz w:val="22"/>
          <w:szCs w:val="22"/>
          <w:lang w:val="cs-CZ"/>
        </w:rPr>
        <w:t>:10.1001/jamanetworkopen.2019.19771</w:t>
      </w:r>
    </w:p>
    <w:p w14:paraId="522C3172" w14:textId="77777777" w:rsidR="0070433E" w:rsidRPr="004E7438" w:rsidRDefault="0070433E" w:rsidP="0070433E">
      <w:pPr>
        <w:pStyle w:val="Default"/>
        <w:numPr>
          <w:ilvl w:val="0"/>
          <w:numId w:val="7"/>
        </w:numPr>
        <w:ind w:left="714" w:hanging="357"/>
        <w:rPr>
          <w:sz w:val="22"/>
          <w:szCs w:val="22"/>
          <w:lang w:val="cs-CZ"/>
        </w:rPr>
      </w:pPr>
      <w:r w:rsidRPr="004E7438">
        <w:rPr>
          <w:sz w:val="22"/>
          <w:szCs w:val="22"/>
          <w:lang w:val="cs-CZ"/>
        </w:rPr>
        <w:t xml:space="preserve">Papa L, Brophy GM, Welch RD, et al. Time course and diagnostic accuracy of glial and neuronal blood biomarkers GFAP and UCH-L1 in a large cohort of trauma patients with and without mild traumatic brain injury. </w:t>
      </w:r>
      <w:r w:rsidRPr="004E7438">
        <w:rPr>
          <w:i/>
          <w:iCs/>
          <w:sz w:val="22"/>
          <w:szCs w:val="22"/>
          <w:lang w:val="cs-CZ"/>
        </w:rPr>
        <w:t>JAMA Neurol</w:t>
      </w:r>
      <w:r w:rsidRPr="004E7438">
        <w:rPr>
          <w:sz w:val="22"/>
          <w:szCs w:val="22"/>
          <w:lang w:val="cs-CZ"/>
        </w:rPr>
        <w:t>. May 1, 2016; 73(5</w:t>
      </w:r>
      <w:proofErr w:type="gramStart"/>
      <w:r w:rsidRPr="004E7438">
        <w:rPr>
          <w:sz w:val="22"/>
          <w:szCs w:val="22"/>
          <w:lang w:val="cs-CZ"/>
        </w:rPr>
        <w:t>):551-60.doi</w:t>
      </w:r>
      <w:proofErr w:type="gramEnd"/>
      <w:r w:rsidRPr="004E7438">
        <w:rPr>
          <w:sz w:val="22"/>
          <w:szCs w:val="22"/>
          <w:lang w:val="cs-CZ"/>
        </w:rPr>
        <w:t>:10.1001/jamaneurol.2016.0039</w:t>
      </w:r>
    </w:p>
    <w:p w14:paraId="0471B5E3" w14:textId="77777777" w:rsidR="0070433E" w:rsidRPr="004E7438" w:rsidRDefault="0070433E" w:rsidP="0070433E">
      <w:pPr>
        <w:pStyle w:val="Default"/>
        <w:numPr>
          <w:ilvl w:val="0"/>
          <w:numId w:val="7"/>
        </w:numPr>
        <w:ind w:left="714" w:hanging="357"/>
        <w:rPr>
          <w:sz w:val="22"/>
          <w:szCs w:val="22"/>
          <w:lang w:val="cs-CZ"/>
        </w:rPr>
      </w:pPr>
      <w:r w:rsidRPr="004E7438">
        <w:rPr>
          <w:sz w:val="22"/>
          <w:szCs w:val="22"/>
          <w:lang w:val="cs-CZ"/>
        </w:rPr>
        <w:t xml:space="preserve">Evaluation of glial and neuronal blood biomarkers GFAP and UCH-L1 as Brain Injury Gradients in Shocking, Subconcussion, and Non-Concussion Trauma: A Prospective Cohort Study. </w:t>
      </w:r>
      <w:r w:rsidRPr="004E7438">
        <w:rPr>
          <w:i/>
          <w:iCs/>
          <w:sz w:val="22"/>
          <w:szCs w:val="22"/>
          <w:lang w:val="cs-CZ"/>
        </w:rPr>
        <w:t>BMJ Paediatr open</w:t>
      </w:r>
      <w:r w:rsidRPr="004E7438">
        <w:rPr>
          <w:sz w:val="22"/>
          <w:szCs w:val="22"/>
          <w:lang w:val="cs-CZ"/>
        </w:rPr>
        <w:t>. 2019; 3(1</w:t>
      </w:r>
      <w:proofErr w:type="gramStart"/>
      <w:r w:rsidRPr="004E7438">
        <w:rPr>
          <w:sz w:val="22"/>
          <w:szCs w:val="22"/>
          <w:lang w:val="cs-CZ"/>
        </w:rPr>
        <w:t>):E</w:t>
      </w:r>
      <w:proofErr w:type="gramEnd"/>
      <w:r w:rsidRPr="004E7438">
        <w:rPr>
          <w:sz w:val="22"/>
          <w:szCs w:val="22"/>
          <w:lang w:val="cs-CZ"/>
        </w:rPr>
        <w:t>000473. doi:10.1136/BMJPO-2019-00047</w:t>
      </w:r>
    </w:p>
    <w:p w14:paraId="195B8648" w14:textId="77777777" w:rsidR="0070433E" w:rsidRPr="004E7438" w:rsidRDefault="0070433E" w:rsidP="0070433E">
      <w:pPr>
        <w:pStyle w:val="Default"/>
        <w:numPr>
          <w:ilvl w:val="0"/>
          <w:numId w:val="7"/>
        </w:numPr>
        <w:ind w:left="714" w:hanging="357"/>
        <w:rPr>
          <w:sz w:val="22"/>
          <w:szCs w:val="22"/>
          <w:lang w:val="cs-CZ"/>
        </w:rPr>
      </w:pPr>
      <w:r w:rsidRPr="004E7438">
        <w:rPr>
          <w:sz w:val="22"/>
          <w:szCs w:val="22"/>
          <w:lang w:val="cs-CZ"/>
        </w:rPr>
        <w:t xml:space="preserve">Ward MD, Weber A, Merrill VD, Welch RD, Bazarian JJ, Christenson RH. Predictive Performance of Biomarkers of Traumatic Brain Injury in High-Risk Elderly Patients. </w:t>
      </w:r>
      <w:r w:rsidRPr="004E7438">
        <w:rPr>
          <w:i/>
          <w:iCs/>
          <w:sz w:val="22"/>
          <w:szCs w:val="22"/>
          <w:lang w:val="cs-CZ"/>
        </w:rPr>
        <w:t>J Appl Lab Med</w:t>
      </w:r>
      <w:r w:rsidRPr="004E7438">
        <w:rPr>
          <w:sz w:val="22"/>
          <w:szCs w:val="22"/>
          <w:lang w:val="cs-CZ"/>
        </w:rPr>
        <w:t>. Jan. 12020; 5(1):91-100. doi:10.1093/jalm.2019.03139</w:t>
      </w:r>
    </w:p>
    <w:p w14:paraId="673B3033" w14:textId="77777777" w:rsidR="0070433E" w:rsidRPr="004E7438" w:rsidRDefault="0070433E" w:rsidP="0070433E">
      <w:pPr>
        <w:pStyle w:val="Default"/>
        <w:numPr>
          <w:ilvl w:val="0"/>
          <w:numId w:val="7"/>
        </w:numPr>
        <w:ind w:left="714" w:hanging="357"/>
        <w:rPr>
          <w:sz w:val="22"/>
          <w:szCs w:val="22"/>
          <w:lang w:val="cs-CZ"/>
        </w:rPr>
      </w:pPr>
      <w:r w:rsidRPr="004E7438">
        <w:rPr>
          <w:sz w:val="22"/>
          <w:szCs w:val="22"/>
          <w:lang w:val="cs-CZ"/>
        </w:rPr>
        <w:t xml:space="preserve">Bazarian J.J., Welch RD, Caudle K, et al. Accuracy of the rapid glial fibrillar acid protein/ubiquitincarboxyl-terminal hydrolase L1 assay for the prediction of intracranial injury on cranial computed tomography after mild traumatic brain injury. </w:t>
      </w:r>
      <w:r w:rsidRPr="004E7438">
        <w:rPr>
          <w:i/>
          <w:iCs/>
          <w:sz w:val="22"/>
          <w:szCs w:val="22"/>
          <w:lang w:val="cs-CZ"/>
        </w:rPr>
        <w:t>Acad Emerg Med</w:t>
      </w:r>
      <w:r w:rsidRPr="004E7438">
        <w:rPr>
          <w:sz w:val="22"/>
          <w:szCs w:val="22"/>
          <w:lang w:val="cs-CZ"/>
        </w:rPr>
        <w:t>. November 2021; 28(11</w:t>
      </w:r>
      <w:proofErr w:type="gramStart"/>
      <w:r w:rsidRPr="004E7438">
        <w:rPr>
          <w:sz w:val="22"/>
          <w:szCs w:val="22"/>
          <w:lang w:val="cs-CZ"/>
        </w:rPr>
        <w:t>):1308-1317.doi</w:t>
      </w:r>
      <w:proofErr w:type="gramEnd"/>
      <w:r w:rsidRPr="004E7438">
        <w:rPr>
          <w:sz w:val="22"/>
          <w:szCs w:val="22"/>
          <w:lang w:val="cs-CZ"/>
        </w:rPr>
        <w:t>:10.1111/acem.14366</w:t>
      </w:r>
    </w:p>
    <w:p w14:paraId="64B50FA2" w14:textId="77777777" w:rsidR="0070433E" w:rsidRPr="004E7438" w:rsidRDefault="0070433E" w:rsidP="0070433E">
      <w:pPr>
        <w:pStyle w:val="Default"/>
        <w:numPr>
          <w:ilvl w:val="0"/>
          <w:numId w:val="7"/>
        </w:numPr>
        <w:ind w:left="714" w:hanging="357"/>
        <w:rPr>
          <w:sz w:val="22"/>
          <w:szCs w:val="22"/>
          <w:lang w:val="cs-CZ"/>
        </w:rPr>
      </w:pPr>
      <w:r w:rsidRPr="004E7438">
        <w:rPr>
          <w:sz w:val="22"/>
          <w:szCs w:val="22"/>
          <w:lang w:val="cs-CZ"/>
        </w:rPr>
        <w:t xml:space="preserve">Korley FK, Datwyler S.A., Jain S, et al. Comparison of GFAP and UCH-L1 measurements from TwoPrototyp tests: Abbott i-STAT and ARCHITECT tests. </w:t>
      </w:r>
      <w:r w:rsidRPr="004E7438">
        <w:rPr>
          <w:i/>
          <w:iCs/>
          <w:sz w:val="22"/>
          <w:szCs w:val="22"/>
          <w:lang w:val="cs-CZ"/>
        </w:rPr>
        <w:t>Neurotrauma Rep</w:t>
      </w:r>
      <w:r w:rsidRPr="004E7438">
        <w:rPr>
          <w:sz w:val="22"/>
          <w:szCs w:val="22"/>
          <w:lang w:val="cs-CZ"/>
        </w:rPr>
        <w:t>. 2021; 2(1</w:t>
      </w:r>
      <w:proofErr w:type="gramStart"/>
      <w:r w:rsidRPr="004E7438">
        <w:rPr>
          <w:sz w:val="22"/>
          <w:szCs w:val="22"/>
          <w:lang w:val="cs-CZ"/>
        </w:rPr>
        <w:t>):193-199.doi</w:t>
      </w:r>
      <w:proofErr w:type="gramEnd"/>
      <w:r w:rsidRPr="004E7438">
        <w:rPr>
          <w:sz w:val="22"/>
          <w:szCs w:val="22"/>
          <w:lang w:val="cs-CZ"/>
        </w:rPr>
        <w:t>:10.1089/neur.2020.0037</w:t>
      </w:r>
    </w:p>
    <w:p w14:paraId="1125A467" w14:textId="77777777" w:rsidR="0070433E" w:rsidRPr="004E7438" w:rsidRDefault="0070433E" w:rsidP="0070433E">
      <w:pPr>
        <w:pStyle w:val="Default"/>
        <w:numPr>
          <w:ilvl w:val="0"/>
          <w:numId w:val="7"/>
        </w:numPr>
        <w:ind w:left="714" w:hanging="357"/>
        <w:rPr>
          <w:sz w:val="22"/>
          <w:szCs w:val="22"/>
          <w:lang w:val="cs-CZ"/>
        </w:rPr>
      </w:pPr>
      <w:r w:rsidRPr="004E7438">
        <w:rPr>
          <w:sz w:val="22"/>
          <w:szCs w:val="22"/>
          <w:lang w:val="cs-CZ"/>
        </w:rPr>
        <w:t xml:space="preserve">Biberthaler P, Musaelyan K, Krieg S, et al. Evaluation of acute </w:t>
      </w:r>
      <w:proofErr w:type="gramStart"/>
      <w:r w:rsidRPr="004E7438">
        <w:rPr>
          <w:sz w:val="22"/>
          <w:szCs w:val="22"/>
          <w:lang w:val="cs-CZ"/>
        </w:rPr>
        <w:t>plasma</w:t>
      </w:r>
      <w:proofErr w:type="gramEnd"/>
      <w:r w:rsidRPr="004E7438">
        <w:rPr>
          <w:sz w:val="22"/>
          <w:szCs w:val="22"/>
          <w:lang w:val="cs-CZ"/>
        </w:rPr>
        <w:t xml:space="preserve"> levels of glial fibrillary acid protein and ubiquitin C-terminal hydrolase-L1 in patients with traumatic brain injury with and without intracranial lesions. </w:t>
      </w:r>
      <w:r w:rsidRPr="004E7438">
        <w:rPr>
          <w:i/>
          <w:iCs/>
          <w:sz w:val="22"/>
          <w:szCs w:val="22"/>
          <w:lang w:val="cs-CZ"/>
        </w:rPr>
        <w:t>Neurotrauma Rep</w:t>
      </w:r>
      <w:r w:rsidRPr="004E7438">
        <w:rPr>
          <w:sz w:val="22"/>
          <w:szCs w:val="22"/>
          <w:lang w:val="cs-CZ"/>
        </w:rPr>
        <w:t>. 2021; 2(1):617-625. doi:10.1089/neur.2021.0048</w:t>
      </w:r>
    </w:p>
    <w:p w14:paraId="6C20C221" w14:textId="77777777" w:rsidR="0070433E" w:rsidRPr="004E7438" w:rsidRDefault="0070433E" w:rsidP="0070433E">
      <w:pPr>
        <w:pStyle w:val="Default"/>
        <w:numPr>
          <w:ilvl w:val="0"/>
          <w:numId w:val="7"/>
        </w:numPr>
        <w:ind w:left="714" w:hanging="357"/>
        <w:rPr>
          <w:sz w:val="22"/>
          <w:szCs w:val="22"/>
          <w:lang w:val="cs-CZ"/>
        </w:rPr>
      </w:pPr>
      <w:r w:rsidRPr="004E7438">
        <w:rPr>
          <w:sz w:val="22"/>
          <w:szCs w:val="22"/>
          <w:lang w:val="cs-CZ"/>
        </w:rPr>
        <w:t xml:space="preserve">Global, Regional, and National Burden of Traumatic Brain and Spinal Cord Injury, 1990-2016: A systematic analysis for the Global Burden of Disease Study 2016. </w:t>
      </w:r>
      <w:r w:rsidRPr="004E7438">
        <w:rPr>
          <w:i/>
          <w:iCs/>
          <w:sz w:val="22"/>
          <w:szCs w:val="22"/>
          <w:lang w:val="cs-CZ"/>
        </w:rPr>
        <w:t>Lancet Neurol</w:t>
      </w:r>
      <w:r w:rsidRPr="004E7438">
        <w:rPr>
          <w:sz w:val="22"/>
          <w:szCs w:val="22"/>
          <w:lang w:val="cs-CZ"/>
        </w:rPr>
        <w:t>. January 2019; 18(1):56-87. doi:10.1016/s1474-4422(18)30415-0</w:t>
      </w:r>
    </w:p>
    <w:p w14:paraId="3FC46D77" w14:textId="77777777" w:rsidR="0070433E" w:rsidRPr="004E7438" w:rsidRDefault="0070433E" w:rsidP="0070433E">
      <w:pPr>
        <w:pStyle w:val="Default"/>
        <w:numPr>
          <w:ilvl w:val="0"/>
          <w:numId w:val="7"/>
        </w:numPr>
        <w:ind w:left="714" w:hanging="357"/>
        <w:rPr>
          <w:sz w:val="22"/>
          <w:szCs w:val="22"/>
          <w:lang w:val="cs-CZ"/>
        </w:rPr>
      </w:pPr>
      <w:r w:rsidRPr="004E7438">
        <w:rPr>
          <w:sz w:val="22"/>
          <w:szCs w:val="22"/>
          <w:lang w:val="cs-CZ"/>
        </w:rPr>
        <w:t xml:space="preserve">(KCE) BHCKC. </w:t>
      </w:r>
      <w:r w:rsidRPr="004E7438">
        <w:rPr>
          <w:i/>
          <w:iCs/>
          <w:sz w:val="22"/>
          <w:szCs w:val="22"/>
          <w:lang w:val="cs-CZ"/>
        </w:rPr>
        <w:t xml:space="preserve">The role of biomarkers in the exclusion of brain lesions in mild cranial </w:t>
      </w:r>
      <w:r w:rsidRPr="004E7438">
        <w:rPr>
          <w:sz w:val="22"/>
          <w:szCs w:val="22"/>
          <w:lang w:val="cs-CZ"/>
        </w:rPr>
        <w:t xml:space="preserve">trauma.2016. </w:t>
      </w:r>
      <w:hyperlink r:id="rId9" w:history="1">
        <w:r w:rsidRPr="004E7438">
          <w:rPr>
            <w:rStyle w:val="Hypertextovodkaz"/>
            <w:sz w:val="22"/>
            <w:szCs w:val="22"/>
            <w:lang w:val="cs-CZ"/>
          </w:rPr>
          <w:t>https://kce.fgov.be/sites/default/files/atoms/files/KCE_261_brain_trauma_Scientific_Report_0.pdf</w:t>
        </w:r>
      </w:hyperlink>
    </w:p>
    <w:p w14:paraId="6DA84346" w14:textId="77777777" w:rsidR="0070433E" w:rsidRPr="004E7438" w:rsidRDefault="0070433E" w:rsidP="0070433E">
      <w:pPr>
        <w:pStyle w:val="Default"/>
        <w:numPr>
          <w:ilvl w:val="0"/>
          <w:numId w:val="7"/>
        </w:numPr>
        <w:ind w:left="714" w:hanging="357"/>
        <w:rPr>
          <w:sz w:val="22"/>
          <w:szCs w:val="22"/>
          <w:lang w:val="cs-CZ"/>
        </w:rPr>
      </w:pPr>
      <w:r w:rsidRPr="004E7438">
        <w:rPr>
          <w:sz w:val="22"/>
          <w:szCs w:val="22"/>
          <w:lang w:val="cs-CZ"/>
        </w:rPr>
        <w:t xml:space="preserve">Stiell IG, Wells GA, Vandemheen K, et al. Canadian Head CT Rule for Patients With Mild Head Injury. </w:t>
      </w:r>
      <w:r w:rsidRPr="004E7438">
        <w:rPr>
          <w:i/>
          <w:iCs/>
          <w:sz w:val="22"/>
          <w:szCs w:val="22"/>
          <w:lang w:val="cs-CZ"/>
        </w:rPr>
        <w:t>Lancet</w:t>
      </w:r>
      <w:r w:rsidRPr="004E7438">
        <w:rPr>
          <w:sz w:val="22"/>
          <w:szCs w:val="22"/>
          <w:lang w:val="cs-CZ"/>
        </w:rPr>
        <w:t>. May 5, 2001; 357(9266):1391-6. doi:10.1016/s0140-6736(00)</w:t>
      </w:r>
      <w:proofErr w:type="gramStart"/>
      <w:r w:rsidRPr="004E7438">
        <w:rPr>
          <w:sz w:val="22"/>
          <w:szCs w:val="22"/>
          <w:lang w:val="cs-CZ"/>
        </w:rPr>
        <w:t>04561-x</w:t>
      </w:r>
      <w:proofErr w:type="gramEnd"/>
    </w:p>
    <w:p w14:paraId="6B29B47C" w14:textId="77777777" w:rsidR="0070433E" w:rsidRPr="004E7438" w:rsidRDefault="0070433E" w:rsidP="0070433E">
      <w:pPr>
        <w:pStyle w:val="Default"/>
        <w:numPr>
          <w:ilvl w:val="0"/>
          <w:numId w:val="7"/>
        </w:numPr>
        <w:ind w:left="714" w:hanging="357"/>
        <w:rPr>
          <w:sz w:val="22"/>
          <w:szCs w:val="22"/>
          <w:lang w:val="cs-CZ"/>
        </w:rPr>
      </w:pPr>
      <w:r w:rsidRPr="004E7438">
        <w:rPr>
          <w:sz w:val="22"/>
          <w:szCs w:val="22"/>
          <w:lang w:val="cs-CZ"/>
        </w:rPr>
        <w:t xml:space="preserve">Undén J, Ingebrigtsen T, Romner B. Scandinavian guidelines for the initial treatment of minimal, mild, and moderate head injuries in adults: evidence and consensus-based updating. </w:t>
      </w:r>
      <w:r w:rsidRPr="004E7438">
        <w:rPr>
          <w:i/>
          <w:iCs/>
          <w:sz w:val="22"/>
          <w:szCs w:val="22"/>
          <w:lang w:val="cs-CZ"/>
        </w:rPr>
        <w:t>BMC Med</w:t>
      </w:r>
      <w:r w:rsidRPr="004E7438">
        <w:rPr>
          <w:sz w:val="22"/>
          <w:szCs w:val="22"/>
          <w:lang w:val="cs-CZ"/>
        </w:rPr>
        <w:t>. February 25, 2013;11:50 AM. doi:10.1186/1741-7015-11-50</w:t>
      </w:r>
    </w:p>
    <w:p w14:paraId="39FDF428" w14:textId="77777777" w:rsidR="0070433E" w:rsidRPr="004E7438" w:rsidRDefault="0070433E" w:rsidP="0070433E">
      <w:pPr>
        <w:pStyle w:val="Default"/>
        <w:numPr>
          <w:ilvl w:val="0"/>
          <w:numId w:val="7"/>
        </w:numPr>
        <w:ind w:left="714" w:hanging="357"/>
        <w:rPr>
          <w:sz w:val="22"/>
          <w:szCs w:val="22"/>
          <w:lang w:val="cs-CZ"/>
        </w:rPr>
      </w:pPr>
      <w:r w:rsidRPr="004E7438">
        <w:rPr>
          <w:sz w:val="22"/>
          <w:szCs w:val="22"/>
          <w:lang w:val="cs-CZ"/>
        </w:rPr>
        <w:t xml:space="preserve">Smith-Bindman R, Wang Y, Chu P, et al. International variation in radiation dose for computed tomography scans: a prospective cohort study. </w:t>
      </w:r>
      <w:r w:rsidRPr="004E7438">
        <w:rPr>
          <w:i/>
          <w:iCs/>
          <w:sz w:val="22"/>
          <w:szCs w:val="22"/>
          <w:lang w:val="cs-CZ"/>
        </w:rPr>
        <w:t>Bmj</w:t>
      </w:r>
      <w:r w:rsidRPr="004E7438">
        <w:rPr>
          <w:sz w:val="22"/>
          <w:szCs w:val="22"/>
          <w:lang w:val="cs-CZ"/>
        </w:rPr>
        <w:t xml:space="preserve">. January 2, 2019; </w:t>
      </w:r>
      <w:proofErr w:type="gramStart"/>
      <w:r w:rsidRPr="004E7438">
        <w:rPr>
          <w:sz w:val="22"/>
          <w:szCs w:val="22"/>
          <w:lang w:val="cs-CZ"/>
        </w:rPr>
        <w:t>364:K</w:t>
      </w:r>
      <w:proofErr w:type="gramEnd"/>
      <w:r w:rsidRPr="004E7438">
        <w:rPr>
          <w:sz w:val="22"/>
          <w:szCs w:val="22"/>
          <w:lang w:val="cs-CZ"/>
        </w:rPr>
        <w:t>4931. doi:10.1136/BMJ.K4931</w:t>
      </w:r>
    </w:p>
    <w:p w14:paraId="5E8C66CA" w14:textId="77777777" w:rsidR="0070433E" w:rsidRPr="004E7438" w:rsidRDefault="0070433E" w:rsidP="0070433E">
      <w:pPr>
        <w:pStyle w:val="Default"/>
        <w:numPr>
          <w:ilvl w:val="0"/>
          <w:numId w:val="7"/>
        </w:numPr>
        <w:ind w:left="714" w:hanging="357"/>
        <w:rPr>
          <w:sz w:val="22"/>
          <w:szCs w:val="22"/>
          <w:lang w:val="cs-CZ"/>
        </w:rPr>
      </w:pPr>
      <w:r w:rsidRPr="004E7438">
        <w:rPr>
          <w:sz w:val="22"/>
          <w:szCs w:val="22"/>
          <w:lang w:val="cs-CZ"/>
        </w:rPr>
        <w:t xml:space="preserve">BanyanBio. </w:t>
      </w:r>
      <w:r w:rsidRPr="004E7438">
        <w:rPr>
          <w:i/>
          <w:iCs/>
          <w:sz w:val="22"/>
          <w:szCs w:val="22"/>
          <w:lang w:val="cs-CZ"/>
        </w:rPr>
        <w:t>Indications for BTI Banyan for use</w:t>
      </w:r>
      <w:r w:rsidRPr="004E7438">
        <w:rPr>
          <w:sz w:val="22"/>
          <w:szCs w:val="22"/>
          <w:lang w:val="cs-CZ"/>
        </w:rPr>
        <w:t xml:space="preserve">. 2019. </w:t>
      </w:r>
      <w:hyperlink r:id="rId10" w:history="1">
        <w:r w:rsidRPr="004E7438">
          <w:rPr>
            <w:rStyle w:val="Hypertextovodkaz"/>
            <w:sz w:val="22"/>
            <w:szCs w:val="22"/>
            <w:lang w:val="cs-CZ"/>
          </w:rPr>
          <w:t>http://banyanbio.com/assets/files/000175_vA-IFU-Banyan-BTI.pdf</w:t>
        </w:r>
      </w:hyperlink>
    </w:p>
    <w:p w14:paraId="4B503F6E" w14:textId="77777777" w:rsidR="0070433E" w:rsidRPr="004E7438" w:rsidRDefault="0070433E" w:rsidP="0070433E">
      <w:pPr>
        <w:pStyle w:val="Default"/>
        <w:numPr>
          <w:ilvl w:val="0"/>
          <w:numId w:val="7"/>
        </w:numPr>
        <w:ind w:left="714" w:hanging="357"/>
        <w:rPr>
          <w:sz w:val="22"/>
          <w:szCs w:val="22"/>
          <w:lang w:val="cs-CZ"/>
        </w:rPr>
      </w:pPr>
      <w:r w:rsidRPr="004E7438">
        <w:rPr>
          <w:sz w:val="22"/>
          <w:szCs w:val="22"/>
          <w:lang w:val="cs-CZ"/>
        </w:rPr>
        <w:t>O. Chudomel1, F. Růžička, M. Brázdil, P. Marusič, E. Růžička, E. Ehler, J. Bednařík. Mild Brain Injuries – Consensus Expert Opinion of the Czech Neurological Society of the Czech Medical Association of J. E. Purkyně. Cesk SlovNeurol N 2019; 82(1): 106-112</w:t>
      </w:r>
    </w:p>
    <w:p w14:paraId="609E35F3" w14:textId="77777777" w:rsidR="0070433E" w:rsidRPr="004E7438" w:rsidRDefault="0070433E" w:rsidP="0070433E">
      <w:pPr>
        <w:pStyle w:val="Default"/>
        <w:numPr>
          <w:ilvl w:val="0"/>
          <w:numId w:val="7"/>
        </w:numPr>
        <w:ind w:left="714" w:hanging="357"/>
        <w:rPr>
          <w:sz w:val="22"/>
          <w:szCs w:val="22"/>
          <w:lang w:val="cs-CZ"/>
        </w:rPr>
      </w:pPr>
      <w:r w:rsidRPr="004E7438">
        <w:rPr>
          <w:sz w:val="22"/>
          <w:szCs w:val="22"/>
          <w:lang w:val="cs-CZ"/>
        </w:rPr>
        <w:t xml:space="preserve">Scandinavian guideleines https://bmcmedicine.biomedcentral.com/articles/10.1186/1741-7015-11-50#Tab4 </w:t>
      </w:r>
      <w:hyperlink r:id="rId11" w:anchor="Tab4" w:history="1"/>
    </w:p>
    <w:p w14:paraId="4812B02E" w14:textId="77777777" w:rsidR="0059691C" w:rsidRPr="004E7438" w:rsidRDefault="00FA6536" w:rsidP="0070433E">
      <w:pPr>
        <w:pStyle w:val="Default"/>
        <w:numPr>
          <w:ilvl w:val="0"/>
          <w:numId w:val="7"/>
        </w:numPr>
        <w:ind w:left="714" w:hanging="357"/>
        <w:rPr>
          <w:rStyle w:val="Hypertextovodkaz"/>
          <w:color w:val="000000"/>
          <w:sz w:val="22"/>
          <w:szCs w:val="22"/>
          <w:u w:val="none"/>
          <w:lang w:val="cs-CZ"/>
        </w:rPr>
      </w:pPr>
      <w:hyperlink r:id="rId12" w:history="1">
        <w:r w:rsidRPr="004E7438">
          <w:rPr>
            <w:rStyle w:val="Hypertextovodkaz"/>
            <w:lang w:val="cs-CZ"/>
          </w:rPr>
          <w:t>Nemocnice Havlíčkův Brod má nové CT | Týden.cz (tyden.cz)</w:t>
        </w:r>
      </w:hyperlink>
    </w:p>
    <w:p w14:paraId="4951959A" w14:textId="77777777" w:rsidR="004435E8" w:rsidRPr="004E7438" w:rsidRDefault="004435E8" w:rsidP="004435E8">
      <w:pPr>
        <w:pStyle w:val="Default"/>
        <w:numPr>
          <w:ilvl w:val="0"/>
          <w:numId w:val="7"/>
        </w:numPr>
        <w:ind w:left="714" w:hanging="357"/>
        <w:rPr>
          <w:sz w:val="22"/>
          <w:szCs w:val="22"/>
          <w:lang w:val="cs-CZ"/>
        </w:rPr>
      </w:pPr>
      <w:r w:rsidRPr="004E7438">
        <w:rPr>
          <w:lang w:val="cs-CZ"/>
        </w:rPr>
        <w:t xml:space="preserve">ÚZIS, Praha 1. 12. 2022: Přístrojové vybavení zdravotnických zařízení ČR v roce 2021 </w:t>
      </w:r>
      <w:hyperlink r:id="rId13" w:history="1">
        <w:r w:rsidRPr="004E7438">
          <w:rPr>
            <w:rStyle w:val="Hypertextovodkaz"/>
            <w:lang w:val="cs-CZ"/>
          </w:rPr>
          <w:t>Aktuální informace č. 3/2020, Přístrojové vybavení zdravotnických zařízení ČR v roce 2019 (uzis.cz)</w:t>
        </w:r>
      </w:hyperlink>
    </w:p>
    <w:p w14:paraId="454797E6" w14:textId="77777777" w:rsidR="0070433E" w:rsidRPr="004E7438" w:rsidRDefault="0070433E" w:rsidP="0070433E">
      <w:pPr>
        <w:pStyle w:val="Default"/>
        <w:numPr>
          <w:ilvl w:val="0"/>
          <w:numId w:val="7"/>
        </w:numPr>
        <w:ind w:left="714" w:hanging="357"/>
        <w:rPr>
          <w:rStyle w:val="Hypertextovodkaz"/>
          <w:color w:val="000000"/>
          <w:sz w:val="22"/>
          <w:szCs w:val="22"/>
          <w:u w:val="none"/>
          <w:lang w:val="cs-CZ"/>
        </w:rPr>
      </w:pPr>
      <w:hyperlink r:id="rId14" w:history="1">
        <w:r w:rsidRPr="004E7438">
          <w:rPr>
            <w:rStyle w:val="Hypertextovodkaz"/>
            <w:lang w:val="cs-CZ"/>
          </w:rPr>
          <w:t>Abbott: Biomarkers of Brain Injury (thepathologist.com)</w:t>
        </w:r>
      </w:hyperlink>
    </w:p>
    <w:p w14:paraId="669B310A" w14:textId="77777777" w:rsidR="0070433E" w:rsidRPr="004E7438" w:rsidRDefault="0070433E" w:rsidP="0070433E">
      <w:pPr>
        <w:pStyle w:val="Default"/>
        <w:numPr>
          <w:ilvl w:val="0"/>
          <w:numId w:val="7"/>
        </w:numPr>
        <w:ind w:left="714" w:hanging="357"/>
        <w:rPr>
          <w:rStyle w:val="Hypertextovodkaz"/>
          <w:color w:val="000000"/>
          <w:sz w:val="22"/>
          <w:szCs w:val="22"/>
          <w:u w:val="none"/>
          <w:lang w:val="cs-CZ"/>
        </w:rPr>
      </w:pPr>
      <w:hyperlink r:id="rId15" w:history="1">
        <w:r w:rsidRPr="004E7438">
          <w:rPr>
            <w:rStyle w:val="Hypertextovodkaz"/>
            <w:lang w:val="cs-CZ"/>
          </w:rPr>
          <w:t>(PDF) Mild Head Injury and Biomarkers of Acute Brain Injury (researchgate.net)</w:t>
        </w:r>
      </w:hyperlink>
    </w:p>
    <w:p w14:paraId="6AB52858" w14:textId="77777777" w:rsidR="0070433E" w:rsidRPr="004E7438" w:rsidRDefault="0070433E" w:rsidP="0070433E">
      <w:pPr>
        <w:pStyle w:val="Default"/>
        <w:numPr>
          <w:ilvl w:val="0"/>
          <w:numId w:val="7"/>
        </w:numPr>
        <w:ind w:left="714" w:hanging="357"/>
        <w:rPr>
          <w:rStyle w:val="Hypertextovodkaz"/>
          <w:color w:val="000000"/>
          <w:sz w:val="22"/>
          <w:szCs w:val="22"/>
          <w:u w:val="none"/>
          <w:lang w:val="cs-CZ"/>
        </w:rPr>
      </w:pPr>
      <w:hyperlink r:id="rId16" w:history="1">
        <w:r w:rsidRPr="004E7438">
          <w:rPr>
            <w:rStyle w:val="Hypertextovodkaz"/>
            <w:lang w:val="cs-CZ"/>
          </w:rPr>
          <w:t>Mild Traumatic Brain Injury | ACEP</w:t>
        </w:r>
      </w:hyperlink>
    </w:p>
    <w:p w14:paraId="42D99E65" w14:textId="77777777" w:rsidR="0070433E" w:rsidRPr="004E7438" w:rsidRDefault="0070433E" w:rsidP="0070433E">
      <w:pPr>
        <w:pStyle w:val="Default"/>
        <w:numPr>
          <w:ilvl w:val="0"/>
          <w:numId w:val="7"/>
        </w:numPr>
        <w:rPr>
          <w:sz w:val="22"/>
          <w:szCs w:val="22"/>
          <w:lang w:val="cs-CZ"/>
        </w:rPr>
      </w:pPr>
      <w:r w:rsidRPr="004E7438">
        <w:rPr>
          <w:sz w:val="22"/>
          <w:szCs w:val="22"/>
          <w:lang w:val="cs-CZ"/>
        </w:rPr>
        <w:t>Temboury Ruiz, F., et al. (2024). "Mild head trauma and biomarkers of acute brain injury." Revista Española de Urgencias y Emergencias 3: 31-36.</w:t>
      </w:r>
    </w:p>
    <w:p w14:paraId="319E6E25" w14:textId="77777777" w:rsidR="0070433E" w:rsidRPr="004E7438" w:rsidRDefault="0070433E" w:rsidP="0070433E">
      <w:pPr>
        <w:pStyle w:val="Default"/>
        <w:numPr>
          <w:ilvl w:val="0"/>
          <w:numId w:val="7"/>
        </w:numPr>
        <w:rPr>
          <w:sz w:val="22"/>
          <w:szCs w:val="22"/>
          <w:lang w:val="cs-CZ"/>
        </w:rPr>
      </w:pPr>
      <w:r w:rsidRPr="004E7438">
        <w:rPr>
          <w:sz w:val="22"/>
          <w:szCs w:val="22"/>
          <w:lang w:val="cs-CZ"/>
        </w:rPr>
        <w:t>Silverberg, N. D., et al. (2023). "The American Congress of Rehabilitation Medicine Diagnostic Criteria for Mild Traumatic Brain Injury." Arch Phys Med Rehabil 104(8): 1343-1355.</w:t>
      </w:r>
    </w:p>
    <w:p w14:paraId="25F45909" w14:textId="77777777" w:rsidR="0070433E" w:rsidRPr="004E7438" w:rsidRDefault="0070433E" w:rsidP="0070433E">
      <w:pPr>
        <w:pStyle w:val="Default"/>
        <w:numPr>
          <w:ilvl w:val="0"/>
          <w:numId w:val="7"/>
        </w:numPr>
        <w:rPr>
          <w:sz w:val="22"/>
          <w:szCs w:val="22"/>
          <w:lang w:val="cs-CZ"/>
        </w:rPr>
      </w:pPr>
      <w:r w:rsidRPr="004E7438">
        <w:rPr>
          <w:sz w:val="22"/>
          <w:szCs w:val="22"/>
          <w:lang w:val="cs-CZ"/>
        </w:rPr>
        <w:t>Oris, C., et al. (2024). "Comparison of GFAP and UCH-L1 Measurements Using Two Automated Immunoassays (i-STAT® and Alinity®) for the Management of Patients with Mild Traumatic Brain Injury: Preliminary Results from a French Single-Center Approach." International Journal of Molecular Sciences 25(8).</w:t>
      </w:r>
    </w:p>
    <w:p w14:paraId="2A086EB6" w14:textId="77777777" w:rsidR="0070433E" w:rsidRPr="004E7438" w:rsidRDefault="0070433E" w:rsidP="0070433E">
      <w:pPr>
        <w:pStyle w:val="Default"/>
        <w:numPr>
          <w:ilvl w:val="0"/>
          <w:numId w:val="7"/>
        </w:numPr>
        <w:rPr>
          <w:sz w:val="22"/>
          <w:szCs w:val="22"/>
          <w:lang w:val="cs-CZ"/>
        </w:rPr>
      </w:pPr>
      <w:r w:rsidRPr="004E7438">
        <w:rPr>
          <w:sz w:val="22"/>
          <w:szCs w:val="22"/>
          <w:lang w:val="cs-CZ"/>
        </w:rPr>
        <w:t>Lapic, I., et al. (2024). "Exploratory analysis of glial fibrillary acidic protein and ubiquitin C-terminal hydrolase L1 in management of patients with mild neurological symptoms undergoing head computed tomography scan at the emergency department: a pilot study from a Croatian tertiary hospital." Lab Med 55(4): 492-497.</w:t>
      </w:r>
    </w:p>
    <w:p w14:paraId="208BF7B0" w14:textId="77777777" w:rsidR="0070433E" w:rsidRPr="004E7438" w:rsidRDefault="0070433E" w:rsidP="0070433E">
      <w:pPr>
        <w:pStyle w:val="Default"/>
        <w:numPr>
          <w:ilvl w:val="0"/>
          <w:numId w:val="7"/>
        </w:numPr>
        <w:rPr>
          <w:sz w:val="22"/>
          <w:szCs w:val="22"/>
          <w:lang w:val="cs-CZ"/>
        </w:rPr>
      </w:pPr>
      <w:r w:rsidRPr="004E7438">
        <w:rPr>
          <w:sz w:val="22"/>
          <w:lang w:val="cs-CZ"/>
        </w:rPr>
        <w:t xml:space="preserve">Gil-Jardiné C, Payen JF, Bernard R, Bobbia X, Bouzat P, Catoire P et al.  Management of patients suffering from mild traumatic brain injury. </w:t>
      </w:r>
      <w:r w:rsidRPr="004E7438">
        <w:rPr>
          <w:i/>
          <w:iCs/>
          <w:sz w:val="22"/>
          <w:lang w:val="cs-CZ"/>
        </w:rPr>
        <w:t>Anaesthesia Critical Care &amp; Pain Medicine. 2023;42 (4)</w:t>
      </w:r>
      <w:r w:rsidRPr="004E7438">
        <w:rPr>
          <w:sz w:val="22"/>
          <w:lang w:val="cs-CZ"/>
        </w:rPr>
        <w:t xml:space="preserve">. </w:t>
      </w:r>
      <w:hyperlink r:id="rId17" w:history="1">
        <w:r w:rsidRPr="004E7438">
          <w:rPr>
            <w:rStyle w:val="Hypertextovodkaz"/>
            <w:sz w:val="22"/>
            <w:lang w:val="cs-CZ"/>
          </w:rPr>
          <w:t>https://doi.org/10.1016/j.accpm.2023.101260</w:t>
        </w:r>
      </w:hyperlink>
      <w:r w:rsidRPr="004E7438">
        <w:rPr>
          <w:sz w:val="22"/>
          <w:lang w:val="cs-CZ"/>
        </w:rPr>
        <w:t>.</w:t>
      </w:r>
    </w:p>
    <w:p w14:paraId="609B39AB" w14:textId="666EA629" w:rsidR="005B1586" w:rsidRDefault="00241D9B" w:rsidP="00E66F2E">
      <w:pPr>
        <w:pStyle w:val="Default"/>
        <w:numPr>
          <w:ilvl w:val="0"/>
          <w:numId w:val="7"/>
        </w:numPr>
        <w:rPr>
          <w:sz w:val="22"/>
          <w:szCs w:val="22"/>
          <w:lang w:val="cs-CZ"/>
        </w:rPr>
      </w:pPr>
      <w:r w:rsidRPr="00241D9B">
        <w:rPr>
          <w:sz w:val="22"/>
          <w:szCs w:val="22"/>
          <w:lang w:val="cs-CZ"/>
        </w:rPr>
        <w:t xml:space="preserve">M. Lochman, O. Knap, New biomarkers in diagnosis of mild traumatic brain injury, Clinica Chimica Acta, Volume 558, Supplement 1, 2024, 118147, ISSN 0009-8981, </w:t>
      </w:r>
      <w:hyperlink r:id="rId18" w:history="1">
        <w:r w:rsidRPr="00241D9B">
          <w:rPr>
            <w:rStyle w:val="Hypertextovodkaz"/>
            <w:sz w:val="22"/>
            <w:szCs w:val="22"/>
            <w:lang w:val="cs-CZ"/>
          </w:rPr>
          <w:t>https://doi.org/10.1016/j.cca.2024.118147</w:t>
        </w:r>
      </w:hyperlink>
      <w:r w:rsidRPr="00241D9B">
        <w:rPr>
          <w:sz w:val="22"/>
          <w:szCs w:val="22"/>
          <w:lang w:val="cs-CZ"/>
        </w:rPr>
        <w:t>. (https://www.sciencedirect.com/science/article/pii/S0009898124003887)</w:t>
      </w:r>
      <w:r w:rsidR="0070433E" w:rsidRPr="00241D9B">
        <w:rPr>
          <w:sz w:val="22"/>
          <w:szCs w:val="22"/>
          <w:lang w:val="cs-CZ"/>
        </w:rPr>
        <w:t>.</w:t>
      </w:r>
    </w:p>
    <w:p w14:paraId="12237769" w14:textId="4EC46D20" w:rsidR="00E66F2E" w:rsidRPr="009A6AF7" w:rsidRDefault="005B1586" w:rsidP="009A6AF7">
      <w:pPr>
        <w:pStyle w:val="Default"/>
        <w:numPr>
          <w:ilvl w:val="0"/>
          <w:numId w:val="7"/>
        </w:numPr>
        <w:rPr>
          <w:sz w:val="22"/>
          <w:szCs w:val="22"/>
          <w:lang w:val="cs-CZ"/>
        </w:rPr>
      </w:pPr>
      <w:r w:rsidRPr="009A6AF7">
        <w:rPr>
          <w:sz w:val="22"/>
          <w:lang w:val="cs-CZ"/>
        </w:rPr>
        <w:t xml:space="preserve">MUDr. Vilém </w:t>
      </w:r>
      <w:proofErr w:type="gramStart"/>
      <w:r w:rsidRPr="009A6AF7">
        <w:rPr>
          <w:sz w:val="22"/>
          <w:lang w:val="cs-CZ"/>
        </w:rPr>
        <w:t>Juráň,  MUDr.</w:t>
      </w:r>
      <w:proofErr w:type="gramEnd"/>
      <w:r w:rsidRPr="009A6AF7">
        <w:rPr>
          <w:sz w:val="22"/>
          <w:lang w:val="cs-CZ"/>
        </w:rPr>
        <w:t xml:space="preserve"> Martin Smrčka, Ph.D. Doc. MUDr. Vladimír Smrčka, Csc. Poranění mozku</w:t>
      </w:r>
      <w:r w:rsidRPr="00167DC8">
        <w:rPr>
          <w:lang w:val="cs-CZ"/>
        </w:rPr>
        <w:t xml:space="preserve"> </w:t>
      </w:r>
      <w:hyperlink r:id="rId19" w:history="1">
        <w:r w:rsidR="00C12827" w:rsidRPr="00167DC8">
          <w:rPr>
            <w:rStyle w:val="Hypertextovodkaz"/>
            <w:lang w:val="cs-CZ"/>
          </w:rPr>
          <w:t>Poranění mozku (muni.cz)</w:t>
        </w:r>
      </w:hyperlink>
      <w:r w:rsidR="00E66F2E" w:rsidRPr="00167DC8">
        <w:rPr>
          <w:lang w:val="cs-CZ"/>
        </w:rPr>
        <w:t xml:space="preserve"> </w:t>
      </w:r>
    </w:p>
    <w:sectPr w:rsidR="00E66F2E" w:rsidRPr="009A6AF7" w:rsidSect="001529AD">
      <w:footerReference w:type="default" r:id="rId20"/>
      <w:pgSz w:w="12240" w:h="15840"/>
      <w:pgMar w:top="1440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23F2F" w14:textId="77777777" w:rsidR="002242B3" w:rsidRDefault="002242B3" w:rsidP="00F31166">
      <w:pPr>
        <w:spacing w:after="0" w:line="240" w:lineRule="auto"/>
      </w:pPr>
      <w:r>
        <w:separator/>
      </w:r>
    </w:p>
  </w:endnote>
  <w:endnote w:type="continuationSeparator" w:id="0">
    <w:p w14:paraId="2D90AC30" w14:textId="77777777" w:rsidR="002242B3" w:rsidRDefault="002242B3" w:rsidP="00F31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686592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26FBAD9" w14:textId="71E26FCF" w:rsidR="001F4AC8" w:rsidRDefault="001F4AC8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6481CE6" w14:textId="77777777" w:rsidR="001F4AC8" w:rsidRDefault="001F4A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D72425" w14:textId="77777777" w:rsidR="002242B3" w:rsidRDefault="002242B3" w:rsidP="00F31166">
      <w:pPr>
        <w:spacing w:after="0" w:line="240" w:lineRule="auto"/>
      </w:pPr>
      <w:r>
        <w:separator/>
      </w:r>
    </w:p>
  </w:footnote>
  <w:footnote w:type="continuationSeparator" w:id="0">
    <w:p w14:paraId="261EE08D" w14:textId="77777777" w:rsidR="002242B3" w:rsidRDefault="002242B3" w:rsidP="00F311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67136"/>
    <w:multiLevelType w:val="hybridMultilevel"/>
    <w:tmpl w:val="FE605C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60E90"/>
    <w:multiLevelType w:val="hybridMultilevel"/>
    <w:tmpl w:val="CE204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B6B60"/>
    <w:multiLevelType w:val="hybridMultilevel"/>
    <w:tmpl w:val="DC487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F3EEE"/>
    <w:multiLevelType w:val="hybridMultilevel"/>
    <w:tmpl w:val="D0443F2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80146"/>
    <w:multiLevelType w:val="hybridMultilevel"/>
    <w:tmpl w:val="29142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90830"/>
    <w:multiLevelType w:val="hybridMultilevel"/>
    <w:tmpl w:val="6E2E7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67326"/>
    <w:multiLevelType w:val="multilevel"/>
    <w:tmpl w:val="9D040DDE"/>
    <w:numStyleLink w:val="Style1"/>
  </w:abstractNum>
  <w:abstractNum w:abstractNumId="7" w15:restartNumberingAfterBreak="0">
    <w:nsid w:val="27B91A6C"/>
    <w:multiLevelType w:val="hybridMultilevel"/>
    <w:tmpl w:val="B32066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A12710"/>
    <w:multiLevelType w:val="hybridMultilevel"/>
    <w:tmpl w:val="B714F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B82B1C"/>
    <w:multiLevelType w:val="hybridMultilevel"/>
    <w:tmpl w:val="FABE086E"/>
    <w:lvl w:ilvl="0" w:tplc="CBDE929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96349"/>
    <w:multiLevelType w:val="hybridMultilevel"/>
    <w:tmpl w:val="4CE8E7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62212B"/>
    <w:multiLevelType w:val="multilevel"/>
    <w:tmpl w:val="16C6219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08" w:hanging="44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04A4241"/>
    <w:multiLevelType w:val="hybridMultilevel"/>
    <w:tmpl w:val="EA3A39EE"/>
    <w:lvl w:ilvl="0" w:tplc="04090001">
      <w:start w:val="1"/>
      <w:numFmt w:val="bullet"/>
      <w:lvlText w:val=""/>
      <w:lvlJc w:val="left"/>
      <w:pPr>
        <w:ind w:left="10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6" w:hanging="360"/>
      </w:pPr>
      <w:rPr>
        <w:rFonts w:ascii="Wingdings" w:hAnsi="Wingdings" w:hint="default"/>
      </w:rPr>
    </w:lvl>
  </w:abstractNum>
  <w:abstractNum w:abstractNumId="13" w15:restartNumberingAfterBreak="0">
    <w:nsid w:val="381405B4"/>
    <w:multiLevelType w:val="hybridMultilevel"/>
    <w:tmpl w:val="D9621E32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4" w15:restartNumberingAfterBreak="0">
    <w:nsid w:val="3E0759D6"/>
    <w:multiLevelType w:val="hybridMultilevel"/>
    <w:tmpl w:val="673A7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92FCE"/>
    <w:multiLevelType w:val="hybridMultilevel"/>
    <w:tmpl w:val="3E62A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7A7CDB"/>
    <w:multiLevelType w:val="multilevel"/>
    <w:tmpl w:val="9D040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08" w:hanging="44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2FD21B5"/>
    <w:multiLevelType w:val="multilevel"/>
    <w:tmpl w:val="16C6219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08" w:hanging="44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39A27B8"/>
    <w:multiLevelType w:val="multilevel"/>
    <w:tmpl w:val="9D040DDE"/>
    <w:numStyleLink w:val="Style1"/>
  </w:abstractNum>
  <w:abstractNum w:abstractNumId="19" w15:restartNumberingAfterBreak="0">
    <w:nsid w:val="442C7EA9"/>
    <w:multiLevelType w:val="multilevel"/>
    <w:tmpl w:val="FD066BC2"/>
    <w:lvl w:ilvl="0">
      <w:start w:val="1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4F4433EE"/>
    <w:multiLevelType w:val="multilevel"/>
    <w:tmpl w:val="9D040DDE"/>
    <w:styleLink w:val="Style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08" w:hanging="44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61937BC"/>
    <w:multiLevelType w:val="multilevel"/>
    <w:tmpl w:val="16C6219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08" w:hanging="44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FFB731E"/>
    <w:multiLevelType w:val="hybridMultilevel"/>
    <w:tmpl w:val="95F698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137386"/>
    <w:multiLevelType w:val="multilevel"/>
    <w:tmpl w:val="16C6219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08" w:hanging="44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73F553B8"/>
    <w:multiLevelType w:val="multilevel"/>
    <w:tmpl w:val="2DDA8D8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08" w:hanging="44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719496F"/>
    <w:multiLevelType w:val="multilevel"/>
    <w:tmpl w:val="BF18B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B360A41"/>
    <w:multiLevelType w:val="hybridMultilevel"/>
    <w:tmpl w:val="3C9A52E4"/>
    <w:lvl w:ilvl="0" w:tplc="76CA7E4A">
      <w:start w:val="1"/>
      <w:numFmt w:val="decimal"/>
      <w:lvlText w:val="%1."/>
      <w:lvlJc w:val="left"/>
      <w:pPr>
        <w:ind w:left="1440" w:hanging="360"/>
      </w:pPr>
    </w:lvl>
    <w:lvl w:ilvl="1" w:tplc="68EEECDE">
      <w:start w:val="1"/>
      <w:numFmt w:val="decimal"/>
      <w:lvlText w:val="%2."/>
      <w:lvlJc w:val="left"/>
      <w:pPr>
        <w:ind w:left="1440" w:hanging="360"/>
      </w:pPr>
    </w:lvl>
    <w:lvl w:ilvl="2" w:tplc="C8A4C470">
      <w:start w:val="1"/>
      <w:numFmt w:val="decimal"/>
      <w:lvlText w:val="%3."/>
      <w:lvlJc w:val="left"/>
      <w:pPr>
        <w:ind w:left="1440" w:hanging="360"/>
      </w:pPr>
    </w:lvl>
    <w:lvl w:ilvl="3" w:tplc="BA2EEDEC">
      <w:start w:val="1"/>
      <w:numFmt w:val="decimal"/>
      <w:lvlText w:val="%4."/>
      <w:lvlJc w:val="left"/>
      <w:pPr>
        <w:ind w:left="1440" w:hanging="360"/>
      </w:pPr>
    </w:lvl>
    <w:lvl w:ilvl="4" w:tplc="FB688CAA">
      <w:start w:val="1"/>
      <w:numFmt w:val="decimal"/>
      <w:lvlText w:val="%5."/>
      <w:lvlJc w:val="left"/>
      <w:pPr>
        <w:ind w:left="1440" w:hanging="360"/>
      </w:pPr>
    </w:lvl>
    <w:lvl w:ilvl="5" w:tplc="E21616E6">
      <w:start w:val="1"/>
      <w:numFmt w:val="decimal"/>
      <w:lvlText w:val="%6."/>
      <w:lvlJc w:val="left"/>
      <w:pPr>
        <w:ind w:left="1440" w:hanging="360"/>
      </w:pPr>
    </w:lvl>
    <w:lvl w:ilvl="6" w:tplc="D514DA5A">
      <w:start w:val="1"/>
      <w:numFmt w:val="decimal"/>
      <w:lvlText w:val="%7."/>
      <w:lvlJc w:val="left"/>
      <w:pPr>
        <w:ind w:left="1440" w:hanging="360"/>
      </w:pPr>
    </w:lvl>
    <w:lvl w:ilvl="7" w:tplc="267CF148">
      <w:start w:val="1"/>
      <w:numFmt w:val="decimal"/>
      <w:lvlText w:val="%8."/>
      <w:lvlJc w:val="left"/>
      <w:pPr>
        <w:ind w:left="1440" w:hanging="360"/>
      </w:pPr>
    </w:lvl>
    <w:lvl w:ilvl="8" w:tplc="EA3827F2">
      <w:start w:val="1"/>
      <w:numFmt w:val="decimal"/>
      <w:lvlText w:val="%9."/>
      <w:lvlJc w:val="left"/>
      <w:pPr>
        <w:ind w:left="1440" w:hanging="360"/>
      </w:pPr>
    </w:lvl>
  </w:abstractNum>
  <w:abstractNum w:abstractNumId="27" w15:restartNumberingAfterBreak="0">
    <w:nsid w:val="7D080191"/>
    <w:multiLevelType w:val="multilevel"/>
    <w:tmpl w:val="32A66C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808" w:hanging="44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55703261">
    <w:abstractNumId w:val="13"/>
  </w:num>
  <w:num w:numId="2" w16cid:durableId="1968076512">
    <w:abstractNumId w:val="15"/>
  </w:num>
  <w:num w:numId="3" w16cid:durableId="1484352803">
    <w:abstractNumId w:val="5"/>
  </w:num>
  <w:num w:numId="4" w16cid:durableId="606470727">
    <w:abstractNumId w:val="1"/>
  </w:num>
  <w:num w:numId="5" w16cid:durableId="577518765">
    <w:abstractNumId w:val="2"/>
  </w:num>
  <w:num w:numId="6" w16cid:durableId="2107001387">
    <w:abstractNumId w:val="0"/>
  </w:num>
  <w:num w:numId="7" w16cid:durableId="1094286489">
    <w:abstractNumId w:val="22"/>
  </w:num>
  <w:num w:numId="8" w16cid:durableId="466432397">
    <w:abstractNumId w:val="9"/>
  </w:num>
  <w:num w:numId="9" w16cid:durableId="82842275">
    <w:abstractNumId w:val="8"/>
  </w:num>
  <w:num w:numId="10" w16cid:durableId="355230907">
    <w:abstractNumId w:val="16"/>
  </w:num>
  <w:num w:numId="11" w16cid:durableId="789324033">
    <w:abstractNumId w:val="19"/>
  </w:num>
  <w:num w:numId="12" w16cid:durableId="1703434340">
    <w:abstractNumId w:val="12"/>
  </w:num>
  <w:num w:numId="13" w16cid:durableId="623123451">
    <w:abstractNumId w:val="25"/>
  </w:num>
  <w:num w:numId="14" w16cid:durableId="2139909086">
    <w:abstractNumId w:val="4"/>
  </w:num>
  <w:num w:numId="15" w16cid:durableId="2032224609">
    <w:abstractNumId w:val="24"/>
  </w:num>
  <w:num w:numId="16" w16cid:durableId="791553608">
    <w:abstractNumId w:val="3"/>
  </w:num>
  <w:num w:numId="17" w16cid:durableId="1854950117">
    <w:abstractNumId w:val="26"/>
  </w:num>
  <w:num w:numId="18" w16cid:durableId="1553081930">
    <w:abstractNumId w:val="10"/>
  </w:num>
  <w:num w:numId="19" w16cid:durableId="929195896">
    <w:abstractNumId w:val="7"/>
  </w:num>
  <w:num w:numId="20" w16cid:durableId="906720671">
    <w:abstractNumId w:val="6"/>
  </w:num>
  <w:num w:numId="21" w16cid:durableId="1791507735">
    <w:abstractNumId w:val="20"/>
  </w:num>
  <w:num w:numId="22" w16cid:durableId="469329799">
    <w:abstractNumId w:val="27"/>
  </w:num>
  <w:num w:numId="23" w16cid:durableId="1917742159">
    <w:abstractNumId w:val="2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808" w:hanging="448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24" w16cid:durableId="673534242">
    <w:abstractNumId w:val="14"/>
  </w:num>
  <w:num w:numId="25" w16cid:durableId="1983734338">
    <w:abstractNumId w:val="18"/>
  </w:num>
  <w:num w:numId="26" w16cid:durableId="1325626961">
    <w:abstractNumId w:val="17"/>
  </w:num>
  <w:num w:numId="27" w16cid:durableId="1010643465">
    <w:abstractNumId w:val="11"/>
  </w:num>
  <w:num w:numId="28" w16cid:durableId="755635226">
    <w:abstractNumId w:val="23"/>
  </w:num>
  <w:num w:numId="29" w16cid:durableId="178291308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63B"/>
    <w:rsid w:val="00002423"/>
    <w:rsid w:val="00002AD0"/>
    <w:rsid w:val="0001118C"/>
    <w:rsid w:val="00012E03"/>
    <w:rsid w:val="000335AA"/>
    <w:rsid w:val="00034915"/>
    <w:rsid w:val="0004766D"/>
    <w:rsid w:val="0005077E"/>
    <w:rsid w:val="00060A78"/>
    <w:rsid w:val="00061AC5"/>
    <w:rsid w:val="00061CD1"/>
    <w:rsid w:val="0008286E"/>
    <w:rsid w:val="00097DC1"/>
    <w:rsid w:val="000A1593"/>
    <w:rsid w:val="000A418E"/>
    <w:rsid w:val="000C0983"/>
    <w:rsid w:val="000D23A0"/>
    <w:rsid w:val="000E050E"/>
    <w:rsid w:val="000E4182"/>
    <w:rsid w:val="000F3A91"/>
    <w:rsid w:val="000F76FD"/>
    <w:rsid w:val="0010248A"/>
    <w:rsid w:val="00104D6E"/>
    <w:rsid w:val="00143401"/>
    <w:rsid w:val="00144362"/>
    <w:rsid w:val="00144575"/>
    <w:rsid w:val="001505F3"/>
    <w:rsid w:val="001529AD"/>
    <w:rsid w:val="001614C2"/>
    <w:rsid w:val="00165325"/>
    <w:rsid w:val="00167DC8"/>
    <w:rsid w:val="00172EF5"/>
    <w:rsid w:val="00177950"/>
    <w:rsid w:val="00177FB8"/>
    <w:rsid w:val="001A5B4D"/>
    <w:rsid w:val="001A7EAF"/>
    <w:rsid w:val="001F4AC8"/>
    <w:rsid w:val="001F5AF4"/>
    <w:rsid w:val="00211940"/>
    <w:rsid w:val="00216432"/>
    <w:rsid w:val="002242B3"/>
    <w:rsid w:val="00237563"/>
    <w:rsid w:val="00241D9B"/>
    <w:rsid w:val="00242B3B"/>
    <w:rsid w:val="002434E0"/>
    <w:rsid w:val="002565C4"/>
    <w:rsid w:val="00270EFD"/>
    <w:rsid w:val="00275F2F"/>
    <w:rsid w:val="002D7964"/>
    <w:rsid w:val="002E57E6"/>
    <w:rsid w:val="002E7558"/>
    <w:rsid w:val="002F58BD"/>
    <w:rsid w:val="003071BD"/>
    <w:rsid w:val="00311D57"/>
    <w:rsid w:val="00320828"/>
    <w:rsid w:val="00325C6E"/>
    <w:rsid w:val="00351059"/>
    <w:rsid w:val="00375957"/>
    <w:rsid w:val="003A0BCF"/>
    <w:rsid w:val="003C3E0A"/>
    <w:rsid w:val="003C7BBF"/>
    <w:rsid w:val="003D080D"/>
    <w:rsid w:val="003D0D73"/>
    <w:rsid w:val="003D3408"/>
    <w:rsid w:val="003E558F"/>
    <w:rsid w:val="003E5FC3"/>
    <w:rsid w:val="003F208B"/>
    <w:rsid w:val="003F25A3"/>
    <w:rsid w:val="003F3B2E"/>
    <w:rsid w:val="004031A4"/>
    <w:rsid w:val="004062A7"/>
    <w:rsid w:val="00413653"/>
    <w:rsid w:val="0042207E"/>
    <w:rsid w:val="004233FD"/>
    <w:rsid w:val="00424F54"/>
    <w:rsid w:val="0043163E"/>
    <w:rsid w:val="00433D80"/>
    <w:rsid w:val="00433FC4"/>
    <w:rsid w:val="004435E8"/>
    <w:rsid w:val="0047510F"/>
    <w:rsid w:val="00475F78"/>
    <w:rsid w:val="0049059E"/>
    <w:rsid w:val="004D26EC"/>
    <w:rsid w:val="004E3C4F"/>
    <w:rsid w:val="004E7438"/>
    <w:rsid w:val="005035FA"/>
    <w:rsid w:val="00505D95"/>
    <w:rsid w:val="00515950"/>
    <w:rsid w:val="005207E1"/>
    <w:rsid w:val="00522964"/>
    <w:rsid w:val="00527C4C"/>
    <w:rsid w:val="005408C0"/>
    <w:rsid w:val="005568C1"/>
    <w:rsid w:val="0059691C"/>
    <w:rsid w:val="005A26AB"/>
    <w:rsid w:val="005B1586"/>
    <w:rsid w:val="005B59BF"/>
    <w:rsid w:val="005D71D9"/>
    <w:rsid w:val="005E212C"/>
    <w:rsid w:val="005E78DD"/>
    <w:rsid w:val="005F606B"/>
    <w:rsid w:val="006024C2"/>
    <w:rsid w:val="00610696"/>
    <w:rsid w:val="006323E8"/>
    <w:rsid w:val="00643476"/>
    <w:rsid w:val="006444B9"/>
    <w:rsid w:val="0064726B"/>
    <w:rsid w:val="00650B49"/>
    <w:rsid w:val="00663FF9"/>
    <w:rsid w:val="00677309"/>
    <w:rsid w:val="006A6BE5"/>
    <w:rsid w:val="006B2557"/>
    <w:rsid w:val="006D378B"/>
    <w:rsid w:val="006E0DF5"/>
    <w:rsid w:val="006E1637"/>
    <w:rsid w:val="006E4653"/>
    <w:rsid w:val="006F0263"/>
    <w:rsid w:val="0070433E"/>
    <w:rsid w:val="00722973"/>
    <w:rsid w:val="007438FE"/>
    <w:rsid w:val="00757E66"/>
    <w:rsid w:val="007750CC"/>
    <w:rsid w:val="00784884"/>
    <w:rsid w:val="007A5322"/>
    <w:rsid w:val="007C4A83"/>
    <w:rsid w:val="007E12F1"/>
    <w:rsid w:val="007E2F27"/>
    <w:rsid w:val="007E3A7D"/>
    <w:rsid w:val="007E3B02"/>
    <w:rsid w:val="00830489"/>
    <w:rsid w:val="008353E0"/>
    <w:rsid w:val="008378BD"/>
    <w:rsid w:val="00845C0E"/>
    <w:rsid w:val="00877DF4"/>
    <w:rsid w:val="008800A3"/>
    <w:rsid w:val="00892DAE"/>
    <w:rsid w:val="00893940"/>
    <w:rsid w:val="00895062"/>
    <w:rsid w:val="008959DE"/>
    <w:rsid w:val="008A2315"/>
    <w:rsid w:val="008A2595"/>
    <w:rsid w:val="008C7A14"/>
    <w:rsid w:val="008D12F3"/>
    <w:rsid w:val="008D1FE4"/>
    <w:rsid w:val="008E087B"/>
    <w:rsid w:val="008E6CBC"/>
    <w:rsid w:val="008F17D2"/>
    <w:rsid w:val="00901D92"/>
    <w:rsid w:val="0091576F"/>
    <w:rsid w:val="00937736"/>
    <w:rsid w:val="009451C6"/>
    <w:rsid w:val="009478A5"/>
    <w:rsid w:val="0095231C"/>
    <w:rsid w:val="009530DE"/>
    <w:rsid w:val="009614C0"/>
    <w:rsid w:val="009864DC"/>
    <w:rsid w:val="009901BB"/>
    <w:rsid w:val="00997E3C"/>
    <w:rsid w:val="009A6AF7"/>
    <w:rsid w:val="009B046E"/>
    <w:rsid w:val="009B483B"/>
    <w:rsid w:val="009B7C8C"/>
    <w:rsid w:val="009C00C2"/>
    <w:rsid w:val="009C37A8"/>
    <w:rsid w:val="009C3F73"/>
    <w:rsid w:val="009C4E0F"/>
    <w:rsid w:val="009F0022"/>
    <w:rsid w:val="009F1709"/>
    <w:rsid w:val="009F527F"/>
    <w:rsid w:val="00A10D9D"/>
    <w:rsid w:val="00A221BA"/>
    <w:rsid w:val="00A2539F"/>
    <w:rsid w:val="00A255C3"/>
    <w:rsid w:val="00A40554"/>
    <w:rsid w:val="00A41291"/>
    <w:rsid w:val="00A41DE3"/>
    <w:rsid w:val="00A579A2"/>
    <w:rsid w:val="00A6663B"/>
    <w:rsid w:val="00A7311D"/>
    <w:rsid w:val="00A933CA"/>
    <w:rsid w:val="00A97BDA"/>
    <w:rsid w:val="00AA5376"/>
    <w:rsid w:val="00AC6A80"/>
    <w:rsid w:val="00AF2479"/>
    <w:rsid w:val="00B00F00"/>
    <w:rsid w:val="00B13500"/>
    <w:rsid w:val="00B1704A"/>
    <w:rsid w:val="00B23975"/>
    <w:rsid w:val="00B2743A"/>
    <w:rsid w:val="00B401A2"/>
    <w:rsid w:val="00B40A96"/>
    <w:rsid w:val="00B53755"/>
    <w:rsid w:val="00B7351C"/>
    <w:rsid w:val="00B76B06"/>
    <w:rsid w:val="00B8275F"/>
    <w:rsid w:val="00B92E67"/>
    <w:rsid w:val="00BB47A4"/>
    <w:rsid w:val="00BC34BC"/>
    <w:rsid w:val="00BC452B"/>
    <w:rsid w:val="00BD4985"/>
    <w:rsid w:val="00BF38A2"/>
    <w:rsid w:val="00BF577B"/>
    <w:rsid w:val="00C12827"/>
    <w:rsid w:val="00C32235"/>
    <w:rsid w:val="00C33B5E"/>
    <w:rsid w:val="00C3616A"/>
    <w:rsid w:val="00C5571A"/>
    <w:rsid w:val="00C57234"/>
    <w:rsid w:val="00C61A20"/>
    <w:rsid w:val="00C61D0F"/>
    <w:rsid w:val="00C8434A"/>
    <w:rsid w:val="00CC4B65"/>
    <w:rsid w:val="00CC7F88"/>
    <w:rsid w:val="00CD065F"/>
    <w:rsid w:val="00CE0521"/>
    <w:rsid w:val="00CF7222"/>
    <w:rsid w:val="00D0416A"/>
    <w:rsid w:val="00D06EE6"/>
    <w:rsid w:val="00D11A1D"/>
    <w:rsid w:val="00D129C5"/>
    <w:rsid w:val="00D40669"/>
    <w:rsid w:val="00D55292"/>
    <w:rsid w:val="00D800FD"/>
    <w:rsid w:val="00D83665"/>
    <w:rsid w:val="00D84588"/>
    <w:rsid w:val="00D85128"/>
    <w:rsid w:val="00D87BD5"/>
    <w:rsid w:val="00D91A86"/>
    <w:rsid w:val="00D9513C"/>
    <w:rsid w:val="00DA2FAC"/>
    <w:rsid w:val="00DA7CBD"/>
    <w:rsid w:val="00DB7A11"/>
    <w:rsid w:val="00DC28C9"/>
    <w:rsid w:val="00DC5488"/>
    <w:rsid w:val="00DF53AA"/>
    <w:rsid w:val="00DF5C61"/>
    <w:rsid w:val="00E04555"/>
    <w:rsid w:val="00E15BA8"/>
    <w:rsid w:val="00E20B02"/>
    <w:rsid w:val="00E454BD"/>
    <w:rsid w:val="00E53B8A"/>
    <w:rsid w:val="00E65B58"/>
    <w:rsid w:val="00E66F2E"/>
    <w:rsid w:val="00EA4F8B"/>
    <w:rsid w:val="00EA5E71"/>
    <w:rsid w:val="00EA74E5"/>
    <w:rsid w:val="00ED4D7D"/>
    <w:rsid w:val="00EE3BD1"/>
    <w:rsid w:val="00EE7D0E"/>
    <w:rsid w:val="00EF3B4F"/>
    <w:rsid w:val="00F31166"/>
    <w:rsid w:val="00F335BD"/>
    <w:rsid w:val="00F37722"/>
    <w:rsid w:val="00F4068E"/>
    <w:rsid w:val="00F42A25"/>
    <w:rsid w:val="00F469E9"/>
    <w:rsid w:val="00F535AE"/>
    <w:rsid w:val="00F60020"/>
    <w:rsid w:val="00F60814"/>
    <w:rsid w:val="00F63187"/>
    <w:rsid w:val="00F71B22"/>
    <w:rsid w:val="00F97D95"/>
    <w:rsid w:val="00FA2D42"/>
    <w:rsid w:val="00FA6536"/>
    <w:rsid w:val="00FA69A8"/>
    <w:rsid w:val="00FB1358"/>
    <w:rsid w:val="00FB3679"/>
    <w:rsid w:val="00FB3C4A"/>
    <w:rsid w:val="00FC0D72"/>
    <w:rsid w:val="00FD531D"/>
    <w:rsid w:val="00FF3B7F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D47F0"/>
  <w15:chartTrackingRefBased/>
  <w15:docId w15:val="{A58C69BD-5A53-4E77-9827-C1960E71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041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041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666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9C37A8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C37A8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024C2"/>
    <w:rPr>
      <w:color w:val="954F72" w:themeColor="followed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04766D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D041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D0416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obsahu">
    <w:name w:val="TOC Heading"/>
    <w:basedOn w:val="Nadpis1"/>
    <w:next w:val="Normln"/>
    <w:uiPriority w:val="39"/>
    <w:unhideWhenUsed/>
    <w:qFormat/>
    <w:rsid w:val="00104D6E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A2539F"/>
    <w:pPr>
      <w:tabs>
        <w:tab w:val="left" w:pos="440"/>
        <w:tab w:val="right" w:leader="dot" w:pos="9350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2539F"/>
    <w:pPr>
      <w:tabs>
        <w:tab w:val="left" w:pos="880"/>
        <w:tab w:val="right" w:leader="dot" w:pos="9350"/>
      </w:tabs>
      <w:spacing w:after="100"/>
      <w:ind w:left="220"/>
    </w:pPr>
  </w:style>
  <w:style w:type="paragraph" w:styleId="Normlnweb">
    <w:name w:val="Normal (Web)"/>
    <w:basedOn w:val="Normln"/>
    <w:uiPriority w:val="99"/>
    <w:semiHidden/>
    <w:unhideWhenUsed/>
    <w:rsid w:val="00DA7CBD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customStyle="1" w:styleId="xmsonormal">
    <w:name w:val="x_msonormal"/>
    <w:basedOn w:val="Normln"/>
    <w:uiPriority w:val="99"/>
    <w:semiHidden/>
    <w:rsid w:val="00DA7CBD"/>
    <w:pPr>
      <w:spacing w:after="0" w:line="240" w:lineRule="auto"/>
    </w:pPr>
    <w:rPr>
      <w:rFonts w:ascii="Calibri" w:hAnsi="Calibri" w:cs="Calibri"/>
    </w:rPr>
  </w:style>
  <w:style w:type="character" w:styleId="Zstupntext">
    <w:name w:val="Placeholder Text"/>
    <w:basedOn w:val="Standardnpsmoodstavce"/>
    <w:uiPriority w:val="99"/>
    <w:semiHidden/>
    <w:rsid w:val="000A1593"/>
    <w:rPr>
      <w:color w:val="808080"/>
    </w:rPr>
  </w:style>
  <w:style w:type="paragraph" w:styleId="Revize">
    <w:name w:val="Revision"/>
    <w:hidden/>
    <w:uiPriority w:val="99"/>
    <w:semiHidden/>
    <w:rsid w:val="00A97BDA"/>
    <w:pPr>
      <w:spacing w:after="0" w:line="240" w:lineRule="auto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E3BD1"/>
  </w:style>
  <w:style w:type="character" w:styleId="Odkaznakoment">
    <w:name w:val="annotation reference"/>
    <w:basedOn w:val="Standardnpsmoodstavce"/>
    <w:uiPriority w:val="99"/>
    <w:semiHidden/>
    <w:unhideWhenUsed/>
    <w:rsid w:val="004E74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E743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E743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E74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E7438"/>
    <w:rPr>
      <w:b/>
      <w:bCs/>
      <w:sz w:val="20"/>
      <w:szCs w:val="20"/>
    </w:rPr>
  </w:style>
  <w:style w:type="character" w:customStyle="1" w:styleId="cf01">
    <w:name w:val="cf01"/>
    <w:basedOn w:val="Standardnpsmoodstavce"/>
    <w:rsid w:val="009C00C2"/>
    <w:rPr>
      <w:rFonts w:ascii="Segoe UI" w:hAnsi="Segoe UI" w:cs="Segoe UI" w:hint="default"/>
      <w:sz w:val="18"/>
      <w:szCs w:val="18"/>
    </w:rPr>
  </w:style>
  <w:style w:type="numbering" w:customStyle="1" w:styleId="Style1">
    <w:name w:val="Style1"/>
    <w:uiPriority w:val="99"/>
    <w:rsid w:val="00845C0E"/>
    <w:pPr>
      <w:numPr>
        <w:numId w:val="21"/>
      </w:numPr>
    </w:pPr>
  </w:style>
  <w:style w:type="paragraph" w:styleId="Zhlav">
    <w:name w:val="header"/>
    <w:basedOn w:val="Normln"/>
    <w:link w:val="ZhlavChar"/>
    <w:uiPriority w:val="99"/>
    <w:unhideWhenUsed/>
    <w:rsid w:val="00F311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1166"/>
  </w:style>
  <w:style w:type="paragraph" w:styleId="Zpat">
    <w:name w:val="footer"/>
    <w:basedOn w:val="Normln"/>
    <w:link w:val="ZpatChar"/>
    <w:uiPriority w:val="99"/>
    <w:unhideWhenUsed/>
    <w:rsid w:val="00F311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11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6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uzis.cz/res/f/008421/ai-2022-03-t1-pristrojove-vybaveni-zz-2021.pdf" TargetMode="External"/><Relationship Id="rId18" Type="http://schemas.openxmlformats.org/officeDocument/2006/relationships/hyperlink" Target="https://doi.org/10.1016/j.cca.2024.118147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tyden.cz/rubriky/zdravi/nemocnice-havlickuv-brod-ma-nove-ct_562762.html" TargetMode="External"/><Relationship Id="rId17" Type="http://schemas.openxmlformats.org/officeDocument/2006/relationships/hyperlink" Target="https://doi.org/10.1016/j.accpm.2023.10126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acep.org/patient-care/clinical-policies/mild-traumatic-brain-injury2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mcmedicine.biomedcentral.com/articles/10.1186/1741-7015-11-5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researchgate.net/publication/377307167_Traumatismo_craneoencefalico_leve_y_biomarcadores_de_lesion_cerebral_aguda" TargetMode="External"/><Relationship Id="rId10" Type="http://schemas.openxmlformats.org/officeDocument/2006/relationships/hyperlink" Target="http://banyanbio.com/assets/files/000175_vA-IFU-Banyan-BTI.pdf" TargetMode="External"/><Relationship Id="rId19" Type="http://schemas.openxmlformats.org/officeDocument/2006/relationships/hyperlink" Target="https://www.med.muni.cz/Traumatologie/Neurochirurgie/Medici_traum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ce.fgov.be/sites/default/files/atoms/files/KCE_261_brain_trauma_Scientific_Report_0.pdf" TargetMode="External"/><Relationship Id="rId14" Type="http://schemas.openxmlformats.org/officeDocument/2006/relationships/hyperlink" Target="https://thepathologist.com/diagnostics/breakthrough-in-evaluation-of-brain-injury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8C823-DEA4-4417-8F7F-6CDA28AFB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4764</Words>
  <Characters>28114</Characters>
  <Application>Microsoft Office Word</Application>
  <DocSecurity>0</DocSecurity>
  <Lines>234</Lines>
  <Paragraphs>65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Pruner-Zieglerova, Dana</dc:creator>
  <cp:keywords/>
  <dc:description/>
  <cp:lastModifiedBy>Dagmar Gotzmannova</cp:lastModifiedBy>
  <cp:revision>2</cp:revision>
  <cp:lastPrinted>2024-11-06T07:40:00Z</cp:lastPrinted>
  <dcterms:created xsi:type="dcterms:W3CDTF">2024-11-20T20:40:00Z</dcterms:created>
  <dcterms:modified xsi:type="dcterms:W3CDTF">2024-11-20T20:40:00Z</dcterms:modified>
</cp:coreProperties>
</file>