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0915"/>
      </w:tblGrid>
      <w:tr w:rsidR="00E2371F" w:rsidRPr="00961D7B" w14:paraId="19555A2D" w14:textId="77777777" w:rsidTr="006035A3">
        <w:trPr>
          <w:trHeight w:val="1260"/>
        </w:trPr>
        <w:tc>
          <w:tcPr>
            <w:tcW w:w="988" w:type="dxa"/>
          </w:tcPr>
          <w:p w14:paraId="348245DC" w14:textId="77777777" w:rsidR="00E2371F" w:rsidRPr="00DB483D" w:rsidRDefault="00E2371F" w:rsidP="0067329C">
            <w:pPr>
              <w:rPr>
                <w:rFonts w:cs="Arial"/>
                <w:b/>
              </w:rPr>
            </w:pPr>
            <w:r w:rsidRPr="00DB483D">
              <w:rPr>
                <w:rFonts w:cs="Arial"/>
                <w:b/>
              </w:rPr>
              <w:t>801 klinická biochemie</w:t>
            </w:r>
          </w:p>
          <w:p w14:paraId="04BED5A7" w14:textId="77777777" w:rsidR="00E2371F" w:rsidRDefault="00E2371F" w:rsidP="0067329C">
            <w:pPr>
              <w:rPr>
                <w:rFonts w:cs="Arial"/>
              </w:rPr>
            </w:pPr>
          </w:p>
          <w:p w14:paraId="28171B25" w14:textId="77777777" w:rsidR="00E2371F" w:rsidRPr="00D44964" w:rsidRDefault="00E2371F" w:rsidP="0067329C">
            <w:pPr>
              <w:rPr>
                <w:rFonts w:cs="Arial"/>
              </w:rPr>
            </w:pPr>
            <w:r w:rsidRPr="00A2078D">
              <w:rPr>
                <w:rFonts w:cs="Arial"/>
              </w:rPr>
              <w:t>Česká společnost klinické biochemie</w:t>
            </w:r>
            <w:r>
              <w:rPr>
                <w:rFonts w:cs="Arial"/>
              </w:rPr>
              <w:t xml:space="preserve"> ČLS JEP</w:t>
            </w:r>
          </w:p>
        </w:tc>
        <w:tc>
          <w:tcPr>
            <w:tcW w:w="1984" w:type="dxa"/>
          </w:tcPr>
          <w:p w14:paraId="19792C1E" w14:textId="77777777" w:rsidR="00E2371F" w:rsidRPr="00036021" w:rsidRDefault="00E2371F" w:rsidP="0067329C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 xml:space="preserve">STANOVENÍ </w:t>
            </w:r>
            <w:proofErr w:type="gramStart"/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>TBI - TRAUMATICKÉ</w:t>
            </w:r>
            <w:proofErr w:type="gramEnd"/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 xml:space="preserve"> PORANĚNÍ MOZKU</w:t>
            </w:r>
            <w:r>
              <w:rPr>
                <w:rFonts w:eastAsia="SimSun" w:cstheme="minorHAnsi"/>
                <w:kern w:val="2"/>
                <w:lang w:eastAsia="hi-IN" w:bidi="hi-IN"/>
              </w:rPr>
              <w:t xml:space="preserve"> – nový výkon</w:t>
            </w:r>
          </w:p>
        </w:tc>
        <w:tc>
          <w:tcPr>
            <w:tcW w:w="10915" w:type="dxa"/>
          </w:tcPr>
          <w:p w14:paraId="4754AB53" w14:textId="2B020B82" w:rsidR="00E2371F" w:rsidRDefault="00E2371F" w:rsidP="006035A3">
            <w:pPr>
              <w:jc w:val="both"/>
              <w:rPr>
                <w:rFonts w:cs="Arial"/>
              </w:rPr>
            </w:pPr>
            <w:r w:rsidRPr="00036021">
              <w:rPr>
                <w:rFonts w:cs="Arial"/>
                <w:b/>
              </w:rPr>
              <w:t>Připomínky:</w:t>
            </w:r>
            <w:r w:rsidR="00397602"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Opakované projednávání, výkon nebyl pracovní skupinou schválen. Které nové skutečnosti se objevily a jsou důvodem opakovaného projednávání?</w:t>
            </w:r>
          </w:p>
          <w:p w14:paraId="58AC208B" w14:textId="62A79049" w:rsidR="007B1DA2" w:rsidRPr="007B1DA2" w:rsidRDefault="007B1DA2" w:rsidP="007B1DA2">
            <w:pPr>
              <w:pStyle w:val="Odstavecseseznamem"/>
              <w:jc w:val="both"/>
              <w:rPr>
                <w:rFonts w:cs="Arial"/>
                <w:color w:val="5B9BD5" w:themeColor="accent1"/>
              </w:rPr>
            </w:pPr>
            <w:r w:rsidRPr="007B1DA2">
              <w:rPr>
                <w:rFonts w:cs="Arial"/>
                <w:color w:val="5B9BD5" w:themeColor="accent1"/>
              </w:rPr>
              <w:t xml:space="preserve">Nově je k dispozici </w:t>
            </w:r>
            <w:r>
              <w:rPr>
                <w:rFonts w:cs="Arial"/>
                <w:color w:val="5B9BD5" w:themeColor="accent1"/>
              </w:rPr>
              <w:t>d</w:t>
            </w:r>
            <w:r w:rsidRPr="007B1DA2">
              <w:rPr>
                <w:rFonts w:cs="Arial"/>
                <w:color w:val="5B9BD5" w:themeColor="accent1"/>
              </w:rPr>
              <w:t xml:space="preserve">oporučení </w:t>
            </w:r>
            <w:r>
              <w:rPr>
                <w:rFonts w:cs="Arial"/>
                <w:color w:val="5B9BD5" w:themeColor="accent1"/>
              </w:rPr>
              <w:t>České s</w:t>
            </w:r>
            <w:r w:rsidRPr="007B1DA2">
              <w:rPr>
                <w:rFonts w:cs="Arial"/>
                <w:color w:val="5B9BD5" w:themeColor="accent1"/>
              </w:rPr>
              <w:t>polečnosti pro úrazovou chirurgii ČLS JEP</w:t>
            </w:r>
            <w:r>
              <w:rPr>
                <w:rFonts w:cs="Arial"/>
                <w:color w:val="5B9BD5" w:themeColor="accent1"/>
              </w:rPr>
              <w:t xml:space="preserve"> (ČSÚCH)</w:t>
            </w:r>
            <w:r w:rsidRPr="007B1DA2">
              <w:rPr>
                <w:rFonts w:cs="Arial"/>
                <w:color w:val="5B9BD5" w:themeColor="accent1"/>
              </w:rPr>
              <w:t xml:space="preserve">, </w:t>
            </w:r>
            <w:r w:rsidR="002C2308">
              <w:rPr>
                <w:rFonts w:cs="Arial"/>
                <w:color w:val="5B9BD5" w:themeColor="accent1"/>
              </w:rPr>
              <w:t xml:space="preserve">jako společnost zastupující indikující odbornosti, </w:t>
            </w:r>
            <w:r w:rsidRPr="007B1DA2">
              <w:rPr>
                <w:rFonts w:cs="Arial"/>
                <w:color w:val="5B9BD5" w:themeColor="accent1"/>
              </w:rPr>
              <w:t xml:space="preserve">zahrnující </w:t>
            </w:r>
            <w:r>
              <w:rPr>
                <w:rFonts w:cs="Arial"/>
                <w:color w:val="5B9BD5" w:themeColor="accent1"/>
              </w:rPr>
              <w:t>podmínky a specifikaci pacienta</w:t>
            </w:r>
            <w:r w:rsidRPr="007B1DA2">
              <w:rPr>
                <w:rFonts w:cs="Arial"/>
                <w:color w:val="5B9BD5" w:themeColor="accent1"/>
              </w:rPr>
              <w:t xml:space="preserve">, </w:t>
            </w:r>
            <w:r>
              <w:rPr>
                <w:rFonts w:cs="Arial"/>
                <w:color w:val="5B9BD5" w:themeColor="accent1"/>
              </w:rPr>
              <w:t>u kterých</w:t>
            </w:r>
            <w:r w:rsidRPr="007B1DA2">
              <w:rPr>
                <w:rFonts w:cs="Arial"/>
                <w:color w:val="5B9BD5" w:themeColor="accent1"/>
              </w:rPr>
              <w:t xml:space="preserve"> je </w:t>
            </w:r>
            <w:r w:rsidRPr="00490B71">
              <w:rPr>
                <w:rFonts w:cs="Arial"/>
                <w:color w:val="5B9BD5" w:themeColor="accent1"/>
                <w:u w:val="single"/>
              </w:rPr>
              <w:t>žádoucí</w:t>
            </w:r>
            <w:r w:rsidRPr="007B1DA2">
              <w:rPr>
                <w:rFonts w:cs="Arial"/>
                <w:color w:val="5B9BD5" w:themeColor="accent1"/>
              </w:rPr>
              <w:t xml:space="preserve"> tento výkon aplikovat</w:t>
            </w:r>
          </w:p>
          <w:p w14:paraId="163D5AE8" w14:textId="37CD4972" w:rsidR="00E2371F" w:rsidRPr="007B1DA2" w:rsidRDefault="00E2371F" w:rsidP="0067329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Cs/>
              </w:rPr>
            </w:pPr>
            <w:r>
              <w:rPr>
                <w:rFonts w:cs="Arial"/>
              </w:rPr>
              <w:t xml:space="preserve">Obsah výkonu se dle doložených skutečností zdá stále sporný, viz věta v podkladech: </w:t>
            </w:r>
            <w:r w:rsidRPr="00C83236">
              <w:rPr>
                <w:rFonts w:cs="Arial"/>
              </w:rPr>
              <w:t xml:space="preserve">„Z mnoha biomarkerů poškození mozku, hodnocených u lidí pro tento účel, byl nejvíce studován S100 vápník </w:t>
            </w:r>
            <w:r>
              <w:rPr>
                <w:rFonts w:cs="Arial"/>
              </w:rPr>
              <w:t xml:space="preserve">vázající protein B (S100B).6-9. </w:t>
            </w:r>
            <w:r w:rsidRPr="00C83236">
              <w:rPr>
                <w:rFonts w:cs="Arial"/>
              </w:rPr>
              <w:t xml:space="preserve">Tento je však zřídka zahrnut do diagnostických nebo rozhodovacích algoritmů pro </w:t>
            </w:r>
            <w:proofErr w:type="spellStart"/>
            <w:r w:rsidRPr="00C83236">
              <w:rPr>
                <w:rFonts w:cs="Arial"/>
              </w:rPr>
              <w:t>mTBI</w:t>
            </w:r>
            <w:proofErr w:type="spellEnd"/>
            <w:r w:rsidRPr="00C83236">
              <w:rPr>
                <w:rFonts w:cs="Arial"/>
              </w:rPr>
              <w:t xml:space="preserve"> </w:t>
            </w:r>
            <w:r w:rsidRPr="00C61F34">
              <w:rPr>
                <w:rFonts w:cs="Arial"/>
                <w:u w:val="single"/>
              </w:rPr>
              <w:t>kvůli jeho nízké specificitě a zvýšenému riziku nedostatečné diagnostiky u pacientů, kteří se dostaví na pohotovostní oddělení více než 6 hodin po poranění</w:t>
            </w:r>
            <w:r w:rsidRPr="00C83236">
              <w:rPr>
                <w:rFonts w:cs="Arial"/>
              </w:rPr>
              <w:t>.“</w:t>
            </w:r>
            <w:r w:rsidR="007B1DA2">
              <w:rPr>
                <w:rFonts w:cs="Arial"/>
              </w:rPr>
              <w:t xml:space="preserve"> </w:t>
            </w:r>
            <w:r w:rsidR="007B1DA2" w:rsidRPr="007B1DA2">
              <w:rPr>
                <w:rFonts w:cs="Arial"/>
                <w:color w:val="5B9BD5" w:themeColor="accent1"/>
              </w:rPr>
              <w:t xml:space="preserve">Oproti popisovanému biomarkeru S100B je test </w:t>
            </w:r>
            <w:proofErr w:type="spellStart"/>
            <w:r w:rsidR="007B1DA2" w:rsidRPr="007B1DA2">
              <w:rPr>
                <w:rFonts w:cs="Arial"/>
                <w:color w:val="5B9BD5" w:themeColor="accent1"/>
              </w:rPr>
              <w:t>m</w:t>
            </w:r>
            <w:r w:rsidR="007B1DA2">
              <w:rPr>
                <w:rFonts w:cs="Arial"/>
                <w:color w:val="5B9BD5" w:themeColor="accent1"/>
              </w:rPr>
              <w:t>TBi</w:t>
            </w:r>
            <w:proofErr w:type="spellEnd"/>
            <w:r w:rsidR="007B1DA2">
              <w:rPr>
                <w:rFonts w:cs="Arial"/>
                <w:color w:val="5B9BD5" w:themeColor="accent1"/>
              </w:rPr>
              <w:t xml:space="preserve"> </w:t>
            </w:r>
            <w:r w:rsidR="007B1DA2" w:rsidRPr="007B1DA2">
              <w:rPr>
                <w:rFonts w:cs="Arial"/>
                <w:color w:val="5B9BD5" w:themeColor="accent1"/>
              </w:rPr>
              <w:t xml:space="preserve">kombinací dvou biomarkerů </w:t>
            </w:r>
            <w:r w:rsidR="007B1DA2" w:rsidRPr="007B1DA2">
              <w:rPr>
                <w:i/>
                <w:color w:val="5B9BD5" w:themeColor="accent1"/>
              </w:rPr>
              <w:t xml:space="preserve">GFAP </w:t>
            </w:r>
            <w:r w:rsidR="007B1DA2" w:rsidRPr="007B1DA2">
              <w:rPr>
                <w:color w:val="5B9BD5" w:themeColor="accent1"/>
              </w:rPr>
              <w:t xml:space="preserve">a </w:t>
            </w:r>
            <w:r w:rsidR="007B1DA2" w:rsidRPr="007B1DA2">
              <w:rPr>
                <w:i/>
                <w:color w:val="5B9BD5" w:themeColor="accent1"/>
              </w:rPr>
              <w:t xml:space="preserve">UCH-L1, </w:t>
            </w:r>
            <w:r w:rsidR="007B1DA2" w:rsidRPr="007B1DA2">
              <w:rPr>
                <w:iCs/>
                <w:color w:val="5B9BD5" w:themeColor="accent1"/>
              </w:rPr>
              <w:t>které jsou různého původu a jsou specifické pouze pro mozek (S100B je produkován také svalovými vlákny)</w:t>
            </w:r>
            <w:r w:rsidR="007B1DA2">
              <w:rPr>
                <w:iCs/>
                <w:color w:val="5B9BD5" w:themeColor="accent1"/>
              </w:rPr>
              <w:t xml:space="preserve"> a má diagnostické okno rozšířené na 12 hodin oproti S100B (6 hodin).</w:t>
            </w:r>
          </w:p>
          <w:p w14:paraId="4AD54242" w14:textId="0D7A36D6" w:rsidR="00E2371F" w:rsidRDefault="00E2371F" w:rsidP="0067329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zobrazovací metoda (CT vyš.) tedy bude u pacienta realizována vždy, a toto vyšetření je ve vyšetřovacím algoritmu navíc? To byla zásadní připomínka již při minulém projednávání. </w:t>
            </w:r>
          </w:p>
          <w:p w14:paraId="743AC9BD" w14:textId="5F365281" w:rsidR="004416E5" w:rsidRPr="004416E5" w:rsidRDefault="007B1DA2" w:rsidP="004416E5">
            <w:pPr>
              <w:pStyle w:val="Odstavecseseznamem"/>
              <w:jc w:val="both"/>
              <w:rPr>
                <w:color w:val="5B9BD5" w:themeColor="accent1"/>
              </w:rPr>
            </w:pPr>
            <w:bookmarkStart w:id="0" w:name="_Hlk189060664"/>
            <w:r w:rsidRPr="004416E5">
              <w:rPr>
                <w:rFonts w:cs="Arial"/>
                <w:color w:val="5B9BD5" w:themeColor="accent1"/>
              </w:rPr>
              <w:t xml:space="preserve">Dle doporučení ČSÚCH se realizace CT vyšetření při příjmu pacienta nemění </w:t>
            </w:r>
            <w:r w:rsidR="004416E5" w:rsidRPr="004416E5">
              <w:rPr>
                <w:rFonts w:cs="Arial"/>
                <w:color w:val="5B9BD5" w:themeColor="accent1"/>
              </w:rPr>
              <w:t xml:space="preserve">(tj je na zvážení ošetřujícího lékaře). Při negativním výsledku CT a testu </w:t>
            </w:r>
            <w:proofErr w:type="spellStart"/>
            <w:r w:rsidR="004416E5" w:rsidRPr="004416E5">
              <w:rPr>
                <w:rFonts w:cs="Arial"/>
                <w:color w:val="5B9BD5" w:themeColor="accent1"/>
              </w:rPr>
              <w:t>mTBI</w:t>
            </w:r>
            <w:proofErr w:type="spellEnd"/>
            <w:r w:rsidR="004416E5" w:rsidRPr="004416E5">
              <w:rPr>
                <w:rFonts w:cs="Arial"/>
                <w:color w:val="5B9BD5" w:themeColor="accent1"/>
              </w:rPr>
              <w:t xml:space="preserve"> však není nutná observace/hospitalizace. </w:t>
            </w:r>
            <w:r w:rsidRPr="004416E5">
              <w:rPr>
                <w:color w:val="5B9BD5" w:themeColor="accent1"/>
              </w:rPr>
              <w:t>V</w:t>
            </w:r>
            <w:r w:rsidRPr="004416E5">
              <w:rPr>
                <w:color w:val="5B9BD5" w:themeColor="accent1"/>
                <w:spacing w:val="-2"/>
              </w:rPr>
              <w:t xml:space="preserve"> </w:t>
            </w:r>
            <w:r w:rsidRPr="004416E5">
              <w:rPr>
                <w:color w:val="5B9BD5" w:themeColor="accent1"/>
              </w:rPr>
              <w:t>této</w:t>
            </w:r>
            <w:r w:rsidRPr="004416E5">
              <w:rPr>
                <w:color w:val="5B9BD5" w:themeColor="accent1"/>
                <w:spacing w:val="-2"/>
              </w:rPr>
              <w:t xml:space="preserve"> </w:t>
            </w:r>
            <w:r w:rsidRPr="004416E5">
              <w:rPr>
                <w:color w:val="5B9BD5" w:themeColor="accent1"/>
              </w:rPr>
              <w:t>fázi</w:t>
            </w:r>
            <w:r w:rsidRPr="004416E5">
              <w:rPr>
                <w:color w:val="5B9BD5" w:themeColor="accent1"/>
                <w:spacing w:val="-3"/>
              </w:rPr>
              <w:t xml:space="preserve"> </w:t>
            </w:r>
            <w:r w:rsidRPr="004416E5">
              <w:rPr>
                <w:color w:val="5B9BD5" w:themeColor="accent1"/>
              </w:rPr>
              <w:t>použití</w:t>
            </w:r>
            <w:r w:rsidRPr="004416E5">
              <w:rPr>
                <w:color w:val="5B9BD5" w:themeColor="accent1"/>
                <w:spacing w:val="-2"/>
              </w:rPr>
              <w:t xml:space="preserve"> </w:t>
            </w:r>
            <w:r w:rsidRPr="004416E5">
              <w:rPr>
                <w:color w:val="5B9BD5" w:themeColor="accent1"/>
              </w:rPr>
              <w:t>je</w:t>
            </w:r>
            <w:r w:rsidRPr="004416E5">
              <w:rPr>
                <w:color w:val="5B9BD5" w:themeColor="accent1"/>
                <w:spacing w:val="-4"/>
              </w:rPr>
              <w:t xml:space="preserve"> </w:t>
            </w:r>
            <w:r w:rsidR="004416E5" w:rsidRPr="004416E5">
              <w:rPr>
                <w:color w:val="5B9BD5" w:themeColor="accent1"/>
                <w:spacing w:val="-4"/>
              </w:rPr>
              <w:t xml:space="preserve">tedy </w:t>
            </w:r>
            <w:r w:rsidRPr="004416E5">
              <w:rPr>
                <w:color w:val="5B9BD5" w:themeColor="accent1"/>
              </w:rPr>
              <w:t>přínosem</w:t>
            </w:r>
            <w:r w:rsidRPr="004416E5">
              <w:rPr>
                <w:color w:val="5B9BD5" w:themeColor="accent1"/>
                <w:spacing w:val="-3"/>
              </w:rPr>
              <w:t xml:space="preserve"> </w:t>
            </w:r>
            <w:r w:rsidRPr="004416E5">
              <w:rPr>
                <w:color w:val="5B9BD5" w:themeColor="accent1"/>
              </w:rPr>
              <w:t>testu</w:t>
            </w:r>
            <w:r w:rsidRPr="004416E5">
              <w:rPr>
                <w:color w:val="5B9BD5" w:themeColor="accent1"/>
                <w:spacing w:val="-2"/>
              </w:rPr>
              <w:t xml:space="preserve"> </w:t>
            </w:r>
            <w:r w:rsidRPr="004416E5">
              <w:rPr>
                <w:color w:val="5B9BD5" w:themeColor="accent1"/>
              </w:rPr>
              <w:t>snížení</w:t>
            </w:r>
            <w:r w:rsidRPr="004416E5">
              <w:rPr>
                <w:color w:val="5B9BD5" w:themeColor="accent1"/>
                <w:spacing w:val="-3"/>
              </w:rPr>
              <w:t xml:space="preserve"> </w:t>
            </w:r>
            <w:r w:rsidRPr="004416E5">
              <w:rPr>
                <w:color w:val="5B9BD5" w:themeColor="accent1"/>
              </w:rPr>
              <w:t>zátěže</w:t>
            </w:r>
            <w:r w:rsidRPr="004416E5">
              <w:rPr>
                <w:color w:val="5B9BD5" w:themeColor="accent1"/>
                <w:spacing w:val="-2"/>
              </w:rPr>
              <w:t xml:space="preserve"> </w:t>
            </w:r>
            <w:r w:rsidRPr="004416E5">
              <w:rPr>
                <w:color w:val="5B9BD5" w:themeColor="accent1"/>
              </w:rPr>
              <w:t>akutních</w:t>
            </w:r>
            <w:r w:rsidRPr="004416E5">
              <w:rPr>
                <w:color w:val="5B9BD5" w:themeColor="accent1"/>
                <w:spacing w:val="-3"/>
              </w:rPr>
              <w:t xml:space="preserve"> </w:t>
            </w:r>
            <w:r w:rsidRPr="004416E5">
              <w:rPr>
                <w:color w:val="5B9BD5" w:themeColor="accent1"/>
              </w:rPr>
              <w:t>lůžek</w:t>
            </w:r>
            <w:r w:rsidRPr="004416E5">
              <w:rPr>
                <w:color w:val="5B9BD5" w:themeColor="accent1"/>
                <w:spacing w:val="-2"/>
              </w:rPr>
              <w:t xml:space="preserve"> </w:t>
            </w:r>
            <w:r w:rsidRPr="004416E5">
              <w:rPr>
                <w:color w:val="5B9BD5" w:themeColor="accent1"/>
              </w:rPr>
              <w:t>pacienty,</w:t>
            </w:r>
            <w:r w:rsidRPr="004416E5">
              <w:rPr>
                <w:color w:val="5B9BD5" w:themeColor="accent1"/>
                <w:spacing w:val="-4"/>
              </w:rPr>
              <w:t xml:space="preserve"> </w:t>
            </w:r>
            <w:r w:rsidRPr="004416E5">
              <w:rPr>
                <w:color w:val="5B9BD5" w:themeColor="accent1"/>
              </w:rPr>
              <w:t>kteří</w:t>
            </w:r>
            <w:r w:rsidRPr="004416E5">
              <w:rPr>
                <w:color w:val="5B9BD5" w:themeColor="accent1"/>
                <w:spacing w:val="-4"/>
              </w:rPr>
              <w:t xml:space="preserve"> </w:t>
            </w:r>
            <w:r w:rsidRPr="004416E5">
              <w:rPr>
                <w:color w:val="5B9BD5" w:themeColor="accent1"/>
              </w:rPr>
              <w:t>jsou</w:t>
            </w:r>
            <w:r w:rsidRPr="004416E5">
              <w:rPr>
                <w:color w:val="5B9BD5" w:themeColor="accent1"/>
                <w:spacing w:val="-3"/>
              </w:rPr>
              <w:t xml:space="preserve"> </w:t>
            </w:r>
            <w:r w:rsidRPr="004416E5">
              <w:rPr>
                <w:color w:val="5B9BD5" w:themeColor="accent1"/>
              </w:rPr>
              <w:t>nyní standardně indikováni ke krátké observaci</w:t>
            </w:r>
            <w:r>
              <w:t xml:space="preserve"> </w:t>
            </w:r>
            <w:bookmarkStart w:id="1" w:name="_Hlk189060699"/>
            <w:bookmarkEnd w:id="0"/>
            <w:r w:rsidRPr="004416E5">
              <w:rPr>
                <w:color w:val="5B9BD5" w:themeColor="accent1"/>
              </w:rPr>
              <w:t xml:space="preserve">za hospitalizace 24-48 hodin, s </w:t>
            </w:r>
            <w:proofErr w:type="spellStart"/>
            <w:r w:rsidRPr="004416E5">
              <w:rPr>
                <w:color w:val="5B9BD5" w:themeColor="accent1"/>
              </w:rPr>
              <w:t>diagnozou</w:t>
            </w:r>
            <w:proofErr w:type="spellEnd"/>
            <w:r w:rsidRPr="004416E5">
              <w:rPr>
                <w:color w:val="5B9BD5" w:themeColor="accent1"/>
              </w:rPr>
              <w:t xml:space="preserve"> S 0600, resp. redukce jejich počtu na cca </w:t>
            </w:r>
            <w:proofErr w:type="gramStart"/>
            <w:r w:rsidRPr="004416E5">
              <w:rPr>
                <w:color w:val="5B9BD5" w:themeColor="accent1"/>
              </w:rPr>
              <w:t>50%</w:t>
            </w:r>
            <w:bookmarkEnd w:id="1"/>
            <w:proofErr w:type="gramEnd"/>
            <w:r w:rsidRPr="004416E5">
              <w:rPr>
                <w:color w:val="5B9BD5" w:themeColor="accent1"/>
              </w:rPr>
              <w:t>.</w:t>
            </w:r>
            <w:r w:rsidR="004416E5">
              <w:rPr>
                <w:color w:val="5B9BD5" w:themeColor="accent1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Jednoznačně</w:t>
            </w:r>
            <w:r w:rsidR="004416E5" w:rsidRPr="004416E5">
              <w:rPr>
                <w:color w:val="5B9BD5" w:themeColor="accent1"/>
                <w:spacing w:val="-7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je</w:t>
            </w:r>
            <w:r w:rsidR="004416E5" w:rsidRPr="004416E5">
              <w:rPr>
                <w:color w:val="5B9BD5" w:themeColor="accent1"/>
                <w:spacing w:val="-6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doporučeno</w:t>
            </w:r>
            <w:r w:rsidR="004416E5" w:rsidRPr="004416E5">
              <w:rPr>
                <w:color w:val="5B9BD5" w:themeColor="accent1"/>
                <w:spacing w:val="-3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pokračovat</w:t>
            </w:r>
            <w:r w:rsidR="004416E5" w:rsidRPr="004416E5">
              <w:rPr>
                <w:color w:val="5B9BD5" w:themeColor="accent1"/>
                <w:spacing w:val="-6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ve</w:t>
            </w:r>
            <w:r w:rsidR="004416E5" w:rsidRPr="004416E5">
              <w:rPr>
                <w:color w:val="5B9BD5" w:themeColor="accent1"/>
                <w:spacing w:val="-4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sběru</w:t>
            </w:r>
            <w:r w:rsidR="004416E5" w:rsidRPr="004416E5">
              <w:rPr>
                <w:color w:val="5B9BD5" w:themeColor="accent1"/>
                <w:spacing w:val="-4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dat</w:t>
            </w:r>
            <w:r w:rsidR="004416E5" w:rsidRPr="004416E5">
              <w:rPr>
                <w:color w:val="5B9BD5" w:themeColor="accent1"/>
                <w:spacing w:val="-7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a</w:t>
            </w:r>
            <w:r w:rsidR="004416E5" w:rsidRPr="004416E5">
              <w:rPr>
                <w:color w:val="5B9BD5" w:themeColor="accent1"/>
                <w:spacing w:val="-4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ve</w:t>
            </w:r>
            <w:r w:rsidR="004416E5" w:rsidRPr="004416E5">
              <w:rPr>
                <w:color w:val="5B9BD5" w:themeColor="accent1"/>
                <w:spacing w:val="-6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spolupráci</w:t>
            </w:r>
            <w:r w:rsidR="004416E5" w:rsidRPr="004416E5">
              <w:rPr>
                <w:color w:val="5B9BD5" w:themeColor="accent1"/>
                <w:spacing w:val="-7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s</w:t>
            </w:r>
            <w:r w:rsidR="004416E5" w:rsidRPr="004416E5">
              <w:rPr>
                <w:color w:val="5B9BD5" w:themeColor="accent1"/>
                <w:spacing w:val="1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neurologickou</w:t>
            </w:r>
            <w:r w:rsidR="004416E5" w:rsidRPr="004416E5">
              <w:rPr>
                <w:color w:val="5B9BD5" w:themeColor="accent1"/>
                <w:spacing w:val="-5"/>
              </w:rPr>
              <w:t xml:space="preserve"> </w:t>
            </w:r>
            <w:r w:rsidR="004416E5" w:rsidRPr="004416E5">
              <w:rPr>
                <w:color w:val="5B9BD5" w:themeColor="accent1"/>
                <w:spacing w:val="-10"/>
              </w:rPr>
              <w:t>a</w:t>
            </w:r>
            <w:r w:rsidR="004416E5">
              <w:rPr>
                <w:color w:val="5B9BD5" w:themeColor="accent1"/>
                <w:spacing w:val="-10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neurochirurgickou</w:t>
            </w:r>
            <w:r w:rsidR="004416E5" w:rsidRPr="004416E5">
              <w:rPr>
                <w:color w:val="5B9BD5" w:themeColor="accent1"/>
                <w:spacing w:val="-4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odbornou</w:t>
            </w:r>
            <w:r w:rsidR="004416E5" w:rsidRPr="004416E5">
              <w:rPr>
                <w:color w:val="5B9BD5" w:themeColor="accent1"/>
                <w:spacing w:val="-4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společností</w:t>
            </w:r>
            <w:r w:rsidR="004416E5" w:rsidRPr="004416E5">
              <w:rPr>
                <w:color w:val="5B9BD5" w:themeColor="accent1"/>
                <w:spacing w:val="-3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rozšířit</w:t>
            </w:r>
            <w:r w:rsidR="004416E5" w:rsidRPr="004416E5">
              <w:rPr>
                <w:color w:val="5B9BD5" w:themeColor="accent1"/>
                <w:spacing w:val="-3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doporučení</w:t>
            </w:r>
            <w:r w:rsidR="004416E5" w:rsidRPr="004416E5">
              <w:rPr>
                <w:color w:val="5B9BD5" w:themeColor="accent1"/>
                <w:spacing w:val="-3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k</w:t>
            </w:r>
            <w:r w:rsidR="004416E5" w:rsidRPr="004416E5">
              <w:rPr>
                <w:color w:val="5B9BD5" w:themeColor="accent1"/>
                <w:spacing w:val="-2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využití</w:t>
            </w:r>
            <w:r w:rsidR="004416E5" w:rsidRPr="004416E5">
              <w:rPr>
                <w:color w:val="5B9BD5" w:themeColor="accent1"/>
                <w:spacing w:val="-3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testu</w:t>
            </w:r>
            <w:r w:rsidR="004416E5" w:rsidRPr="004416E5">
              <w:rPr>
                <w:color w:val="5B9BD5" w:themeColor="accent1"/>
                <w:spacing w:val="-4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se</w:t>
            </w:r>
            <w:r w:rsidR="004416E5" w:rsidRPr="004416E5">
              <w:rPr>
                <w:color w:val="5B9BD5" w:themeColor="accent1"/>
                <w:spacing w:val="-5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zaměřením</w:t>
            </w:r>
            <w:r w:rsidR="004416E5" w:rsidRPr="004416E5">
              <w:rPr>
                <w:color w:val="5B9BD5" w:themeColor="accent1"/>
                <w:spacing w:val="-2"/>
              </w:rPr>
              <w:t xml:space="preserve"> </w:t>
            </w:r>
            <w:r w:rsidR="004416E5" w:rsidRPr="004416E5">
              <w:rPr>
                <w:color w:val="5B9BD5" w:themeColor="accent1"/>
              </w:rPr>
              <w:t>na redukci nutných CT vyšetření a tím i radiační zátěže.</w:t>
            </w:r>
          </w:p>
          <w:p w14:paraId="3D71C8B2" w14:textId="77777777" w:rsidR="007B1DA2" w:rsidRDefault="007B1DA2" w:rsidP="007B1DA2">
            <w:pPr>
              <w:pStyle w:val="Odstavecseseznamem"/>
              <w:jc w:val="both"/>
              <w:rPr>
                <w:rFonts w:cs="Arial"/>
              </w:rPr>
            </w:pPr>
          </w:p>
          <w:p w14:paraId="725BBEDB" w14:textId="77777777" w:rsidR="00E2371F" w:rsidRDefault="00E2371F" w:rsidP="0067329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Které odbornosti by měly výkon indikovat?</w:t>
            </w:r>
          </w:p>
          <w:p w14:paraId="5EF53598" w14:textId="0015E4D6" w:rsidR="004416E5" w:rsidRPr="004416E5" w:rsidRDefault="004416E5" w:rsidP="004416E5">
            <w:pPr>
              <w:pStyle w:val="Odstavecseseznamem"/>
              <w:jc w:val="both"/>
              <w:rPr>
                <w:rFonts w:cs="Arial"/>
                <w:color w:val="5B9BD5" w:themeColor="accent1"/>
              </w:rPr>
            </w:pPr>
            <w:r w:rsidRPr="004416E5">
              <w:rPr>
                <w:color w:val="5B9BD5" w:themeColor="accent1"/>
              </w:rPr>
              <w:t>Urgentní</w:t>
            </w:r>
            <w:r w:rsidRPr="004416E5">
              <w:rPr>
                <w:color w:val="5B9BD5" w:themeColor="accent1"/>
                <w:spacing w:val="-9"/>
              </w:rPr>
              <w:t xml:space="preserve"> </w:t>
            </w:r>
            <w:r w:rsidRPr="004416E5">
              <w:rPr>
                <w:color w:val="5B9BD5" w:themeColor="accent1"/>
              </w:rPr>
              <w:t>příjem,</w:t>
            </w:r>
            <w:r w:rsidRPr="004416E5">
              <w:rPr>
                <w:color w:val="5B9BD5" w:themeColor="accent1"/>
                <w:spacing w:val="-6"/>
              </w:rPr>
              <w:t xml:space="preserve"> </w:t>
            </w:r>
            <w:r w:rsidRPr="004416E5">
              <w:rPr>
                <w:color w:val="5B9BD5" w:themeColor="accent1"/>
              </w:rPr>
              <w:t>traumatologie,</w:t>
            </w:r>
            <w:r w:rsidRPr="004416E5">
              <w:rPr>
                <w:color w:val="5B9BD5" w:themeColor="accent1"/>
                <w:spacing w:val="-6"/>
              </w:rPr>
              <w:t xml:space="preserve"> </w:t>
            </w:r>
            <w:r w:rsidRPr="004416E5">
              <w:rPr>
                <w:color w:val="5B9BD5" w:themeColor="accent1"/>
              </w:rPr>
              <w:t>úrazová</w:t>
            </w:r>
            <w:r w:rsidRPr="004416E5">
              <w:rPr>
                <w:color w:val="5B9BD5" w:themeColor="accent1"/>
                <w:spacing w:val="-8"/>
              </w:rPr>
              <w:t xml:space="preserve"> </w:t>
            </w:r>
            <w:r w:rsidRPr="004416E5">
              <w:rPr>
                <w:color w:val="5B9BD5" w:themeColor="accent1"/>
              </w:rPr>
              <w:t>chirurgie,</w:t>
            </w:r>
            <w:r w:rsidRPr="004416E5">
              <w:rPr>
                <w:color w:val="5B9BD5" w:themeColor="accent1"/>
                <w:spacing w:val="-6"/>
              </w:rPr>
              <w:t xml:space="preserve"> </w:t>
            </w:r>
            <w:r w:rsidRPr="004416E5">
              <w:rPr>
                <w:color w:val="5B9BD5" w:themeColor="accent1"/>
              </w:rPr>
              <w:t>chirurgie</w:t>
            </w:r>
          </w:p>
          <w:p w14:paraId="44B5D271" w14:textId="77777777" w:rsidR="00E2371F" w:rsidRDefault="00E2371F" w:rsidP="0067329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 a způsob úhrady v jiných zemích, zejména EU. </w:t>
            </w:r>
          </w:p>
          <w:p w14:paraId="474A1E26" w14:textId="6F91F65B" w:rsidR="004416E5" w:rsidRPr="004416E5" w:rsidRDefault="004416E5" w:rsidP="004416E5">
            <w:pPr>
              <w:pStyle w:val="Odstavecseseznamem"/>
              <w:jc w:val="both"/>
              <w:rPr>
                <w:rFonts w:cs="Arial"/>
                <w:color w:val="5B9BD5" w:themeColor="accent1"/>
              </w:rPr>
            </w:pPr>
            <w:r w:rsidRPr="004416E5">
              <w:rPr>
                <w:rFonts w:cs="Arial"/>
                <w:color w:val="5B9BD5" w:themeColor="accent1"/>
              </w:rPr>
              <w:t xml:space="preserve">Využití tohoto testu v zahraničí je v souladu s doporučením výrobce, tzn u negativního výsledku testu CT není </w:t>
            </w:r>
            <w:proofErr w:type="gramStart"/>
            <w:r w:rsidRPr="004416E5">
              <w:rPr>
                <w:rFonts w:cs="Arial"/>
                <w:color w:val="5B9BD5" w:themeColor="accent1"/>
              </w:rPr>
              <w:t>indikováno</w:t>
            </w:r>
            <w:r>
              <w:rPr>
                <w:rFonts w:cs="Arial"/>
                <w:color w:val="5B9BD5" w:themeColor="accent1"/>
              </w:rPr>
              <w:t xml:space="preserve"> -</w:t>
            </w:r>
            <w:r w:rsidR="00490B71">
              <w:rPr>
                <w:rFonts w:cs="Arial"/>
                <w:color w:val="5B9BD5" w:themeColor="accent1"/>
              </w:rPr>
              <w:t xml:space="preserve"> </w:t>
            </w:r>
            <w:r>
              <w:rPr>
                <w:rFonts w:cs="Arial"/>
                <w:color w:val="5B9BD5" w:themeColor="accent1"/>
              </w:rPr>
              <w:t>ekonomický</w:t>
            </w:r>
            <w:proofErr w:type="gramEnd"/>
            <w:r>
              <w:rPr>
                <w:rFonts w:cs="Arial"/>
                <w:color w:val="5B9BD5" w:themeColor="accent1"/>
              </w:rPr>
              <w:t xml:space="preserve"> dopad </w:t>
            </w:r>
            <w:r w:rsidR="00490B71">
              <w:rPr>
                <w:rFonts w:cs="Arial"/>
                <w:color w:val="5B9BD5" w:themeColor="accent1"/>
              </w:rPr>
              <w:t xml:space="preserve">tedy </w:t>
            </w:r>
            <w:r>
              <w:rPr>
                <w:rFonts w:cs="Arial"/>
                <w:color w:val="5B9BD5" w:themeColor="accent1"/>
              </w:rPr>
              <w:t>spočívá v ušetření nákladů na CT vyšetření</w:t>
            </w:r>
            <w:r w:rsidR="00097541">
              <w:rPr>
                <w:rFonts w:cs="Arial"/>
                <w:color w:val="5B9BD5" w:themeColor="accent1"/>
              </w:rPr>
              <w:t xml:space="preserve"> při příjmu pacienta</w:t>
            </w:r>
            <w:r w:rsidR="00490B71">
              <w:rPr>
                <w:rFonts w:cs="Arial"/>
                <w:color w:val="5B9BD5" w:themeColor="accent1"/>
              </w:rPr>
              <w:t xml:space="preserve"> a nákladů na hospitalizaci</w:t>
            </w:r>
          </w:p>
          <w:p w14:paraId="0E570EB2" w14:textId="77777777" w:rsidR="00E2371F" w:rsidRDefault="00E2371F" w:rsidP="0067329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nutné konkrétněji definovat pracoviště „S“ – v návrhu je specializace pracoviště podmíněna pouze vlastnictvím přístroje. </w:t>
            </w:r>
          </w:p>
          <w:p w14:paraId="06FD414E" w14:textId="419137EB" w:rsidR="004416E5" w:rsidRPr="004416E5" w:rsidRDefault="004416E5" w:rsidP="004416E5">
            <w:pPr>
              <w:pStyle w:val="Odstavecseseznamem"/>
              <w:jc w:val="both"/>
              <w:rPr>
                <w:rFonts w:cs="Arial"/>
                <w:color w:val="5B9BD5" w:themeColor="accent1"/>
              </w:rPr>
            </w:pPr>
            <w:r w:rsidRPr="004416E5">
              <w:rPr>
                <w:rFonts w:cs="Arial"/>
                <w:color w:val="5B9BD5" w:themeColor="accent1"/>
              </w:rPr>
              <w:t>Ano, toto je dostačující</w:t>
            </w:r>
          </w:p>
          <w:p w14:paraId="02DEBB9D" w14:textId="4A17AB8E" w:rsidR="004416E5" w:rsidRDefault="00E2371F" w:rsidP="004416E5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nutno specifikovat frekvenci i v delším časovém intervalu</w:t>
            </w:r>
          </w:p>
          <w:p w14:paraId="4276E4AF" w14:textId="43AB1452" w:rsidR="004416E5" w:rsidRPr="006F7D36" w:rsidRDefault="004416E5" w:rsidP="004416E5">
            <w:pPr>
              <w:pStyle w:val="Odstavecseseznamem"/>
              <w:jc w:val="both"/>
              <w:rPr>
                <w:rFonts w:cs="Arial"/>
                <w:color w:val="5B9BD5" w:themeColor="accent1"/>
                <w:u w:val="single"/>
              </w:rPr>
            </w:pPr>
            <w:r w:rsidRPr="006F7D36">
              <w:rPr>
                <w:rFonts w:cs="Arial"/>
                <w:color w:val="5B9BD5" w:themeColor="accent1"/>
                <w:u w:val="single"/>
              </w:rPr>
              <w:t>Frekvence je 1 test při příjmu pacienta</w:t>
            </w:r>
          </w:p>
          <w:p w14:paraId="4DD98C03" w14:textId="77777777" w:rsidR="00E2371F" w:rsidRDefault="00E2371F" w:rsidP="0067329C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Dodáno bylo </w:t>
            </w:r>
            <w:r w:rsidRPr="00A249E3">
              <w:rPr>
                <w:rFonts w:cs="Arial"/>
              </w:rPr>
              <w:t>Doporučení České společnosti úrazové chirurgie</w:t>
            </w:r>
            <w:r>
              <w:rPr>
                <w:rFonts w:cs="Arial"/>
              </w:rPr>
              <w:t>, žádáme však i o písemné stanovisko České neurologické společnosti ČLS JEP.</w:t>
            </w:r>
          </w:p>
          <w:p w14:paraId="2DDD2EB3" w14:textId="72ED6C33" w:rsidR="00E2371F" w:rsidRPr="006F7D36" w:rsidRDefault="00F52F13" w:rsidP="004416E5">
            <w:pPr>
              <w:pStyle w:val="Odstavecseseznamem"/>
              <w:jc w:val="both"/>
              <w:rPr>
                <w:rFonts w:cs="Arial"/>
                <w:color w:val="5B9BD5" w:themeColor="accent1"/>
              </w:rPr>
            </w:pPr>
            <w:r w:rsidRPr="006F7D36">
              <w:rPr>
                <w:color w:val="5B9BD5" w:themeColor="accent1"/>
              </w:rPr>
              <w:t>Indikující odbornosti jsou</w:t>
            </w:r>
            <w:r w:rsidR="006F7D36">
              <w:rPr>
                <w:color w:val="5B9BD5" w:themeColor="accent1"/>
              </w:rPr>
              <w:t>:</w:t>
            </w:r>
            <w:r w:rsidRPr="006F7D36">
              <w:rPr>
                <w:color w:val="5B9BD5" w:themeColor="accent1"/>
              </w:rPr>
              <w:t xml:space="preserve"> </w:t>
            </w:r>
            <w:r w:rsidRPr="004416E5">
              <w:rPr>
                <w:color w:val="5B9BD5" w:themeColor="accent1"/>
              </w:rPr>
              <w:t>Urgentní</w:t>
            </w:r>
            <w:r w:rsidRPr="004416E5">
              <w:rPr>
                <w:color w:val="5B9BD5" w:themeColor="accent1"/>
                <w:spacing w:val="-9"/>
              </w:rPr>
              <w:t xml:space="preserve"> </w:t>
            </w:r>
            <w:r w:rsidRPr="004416E5">
              <w:rPr>
                <w:color w:val="5B9BD5" w:themeColor="accent1"/>
              </w:rPr>
              <w:t>příjem,</w:t>
            </w:r>
            <w:r w:rsidRPr="004416E5">
              <w:rPr>
                <w:color w:val="5B9BD5" w:themeColor="accent1"/>
                <w:spacing w:val="-6"/>
              </w:rPr>
              <w:t xml:space="preserve"> </w:t>
            </w:r>
            <w:r w:rsidRPr="004416E5">
              <w:rPr>
                <w:color w:val="5B9BD5" w:themeColor="accent1"/>
              </w:rPr>
              <w:t>traumatologie,</w:t>
            </w:r>
            <w:r w:rsidRPr="004416E5">
              <w:rPr>
                <w:color w:val="5B9BD5" w:themeColor="accent1"/>
                <w:spacing w:val="-6"/>
              </w:rPr>
              <w:t xml:space="preserve"> </w:t>
            </w:r>
            <w:r w:rsidRPr="004416E5">
              <w:rPr>
                <w:color w:val="5B9BD5" w:themeColor="accent1"/>
              </w:rPr>
              <w:t>úrazová</w:t>
            </w:r>
            <w:r w:rsidRPr="004416E5">
              <w:rPr>
                <w:color w:val="5B9BD5" w:themeColor="accent1"/>
                <w:spacing w:val="-8"/>
              </w:rPr>
              <w:t xml:space="preserve"> </w:t>
            </w:r>
            <w:r w:rsidRPr="004416E5">
              <w:rPr>
                <w:color w:val="5B9BD5" w:themeColor="accent1"/>
              </w:rPr>
              <w:t>chirurgie,</w:t>
            </w:r>
            <w:r w:rsidRPr="004416E5">
              <w:rPr>
                <w:color w:val="5B9BD5" w:themeColor="accent1"/>
                <w:spacing w:val="-6"/>
              </w:rPr>
              <w:t xml:space="preserve"> </w:t>
            </w:r>
            <w:r w:rsidRPr="004416E5">
              <w:rPr>
                <w:color w:val="5B9BD5" w:themeColor="accent1"/>
              </w:rPr>
              <w:t>chirurgie</w:t>
            </w:r>
            <w:r>
              <w:rPr>
                <w:color w:val="5B9BD5" w:themeColor="accent1"/>
              </w:rPr>
              <w:t>, tudíž se do</w:t>
            </w:r>
            <w:r w:rsidR="00097541">
              <w:rPr>
                <w:color w:val="5B9BD5" w:themeColor="accent1"/>
              </w:rPr>
              <w:t>mn</w:t>
            </w:r>
            <w:r>
              <w:rPr>
                <w:color w:val="5B9BD5" w:themeColor="accent1"/>
              </w:rPr>
              <w:t>íváme, že doporučení České neurologické společnosti není nutné (</w:t>
            </w:r>
            <w:r w:rsidRPr="006F7D36">
              <w:rPr>
                <w:color w:val="5B9BD5" w:themeColor="accent1"/>
                <w:u w:val="single"/>
              </w:rPr>
              <w:t>konziliární vyšetření neurologem je obvykle vyžadováno u pacientů se závažnějším poran</w:t>
            </w:r>
            <w:r w:rsidR="00097541" w:rsidRPr="006F7D36">
              <w:rPr>
                <w:color w:val="5B9BD5" w:themeColor="accent1"/>
                <w:u w:val="single"/>
              </w:rPr>
              <w:t>ě</w:t>
            </w:r>
            <w:r w:rsidRPr="006F7D36">
              <w:rPr>
                <w:color w:val="5B9BD5" w:themeColor="accent1"/>
                <w:u w:val="single"/>
              </w:rPr>
              <w:t>ním hlavy</w:t>
            </w:r>
            <w:r w:rsidR="006F7D36" w:rsidRPr="006F7D36">
              <w:rPr>
                <w:color w:val="5B9BD5" w:themeColor="accent1"/>
                <w:u w:val="single"/>
              </w:rPr>
              <w:t>)</w:t>
            </w:r>
          </w:p>
        </w:tc>
      </w:tr>
    </w:tbl>
    <w:p w14:paraId="20CEAAEF" w14:textId="77777777" w:rsidR="00E95BE4" w:rsidRDefault="00E95BE4" w:rsidP="006F7D36"/>
    <w:sectPr w:rsidR="00E95BE4" w:rsidSect="00E237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533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1F"/>
    <w:rsid w:val="00004625"/>
    <w:rsid w:val="00097541"/>
    <w:rsid w:val="002643AA"/>
    <w:rsid w:val="002C2308"/>
    <w:rsid w:val="00385BEA"/>
    <w:rsid w:val="00397602"/>
    <w:rsid w:val="0043273A"/>
    <w:rsid w:val="004416E5"/>
    <w:rsid w:val="00490B71"/>
    <w:rsid w:val="006035A3"/>
    <w:rsid w:val="006F7D36"/>
    <w:rsid w:val="006F7D41"/>
    <w:rsid w:val="007B1DA2"/>
    <w:rsid w:val="00C75CB5"/>
    <w:rsid w:val="00D63A76"/>
    <w:rsid w:val="00E2371F"/>
    <w:rsid w:val="00E95BE4"/>
    <w:rsid w:val="00F5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6A59"/>
  <w15:chartTrackingRefBased/>
  <w15:docId w15:val="{07ABB606-D0E7-41AE-AAF8-AE8A0CCF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371F"/>
    <w:pPr>
      <w:spacing w:after="200" w:line="276" w:lineRule="auto"/>
    </w:pPr>
    <w:rPr>
      <w:rFonts w:asciiTheme="minorHAnsi" w:hAnsiTheme="minorHAnsi"/>
      <w:kern w:val="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2371F"/>
    <w:pPr>
      <w:spacing w:after="0" w:line="240" w:lineRule="auto"/>
    </w:pPr>
    <w:rPr>
      <w:rFonts w:asciiTheme="minorHAnsi" w:hAnsiTheme="minorHAns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E2371F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dstavec_muj1 Char,Odstavec_muj2 Char,Odstavec_muj3 Char,Nad1 Char,List Paragraph1 Char,Odstavec_muj4 Char,Nad2 Char,Tučné Char"/>
    <w:link w:val="Odstavecseseznamem"/>
    <w:uiPriority w:val="34"/>
    <w:locked/>
    <w:rsid w:val="00E2371F"/>
    <w:rPr>
      <w:rFonts w:ascii="Calibri" w:hAnsi="Calibri" w:cs="Times New Roman"/>
      <w:kern w:val="0"/>
      <w:sz w:val="22"/>
    </w:rPr>
  </w:style>
  <w:style w:type="paragraph" w:styleId="Zkladntext">
    <w:name w:val="Body Text"/>
    <w:basedOn w:val="Normln"/>
    <w:link w:val="ZkladntextChar"/>
    <w:uiPriority w:val="1"/>
    <w:qFormat/>
    <w:rsid w:val="007B1DA2"/>
    <w:pPr>
      <w:widowControl w:val="0"/>
      <w:autoSpaceDE w:val="0"/>
      <w:autoSpaceDN w:val="0"/>
      <w:spacing w:after="0" w:line="240" w:lineRule="auto"/>
      <w:ind w:left="100"/>
    </w:pPr>
    <w:rPr>
      <w:rFonts w:ascii="Calibri" w:eastAsia="Calibri" w:hAnsi="Calibri" w:cs="Calibri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B1DA2"/>
    <w:rPr>
      <w:rFonts w:ascii="Calibri" w:eastAsia="Calibri" w:hAnsi="Calibri" w:cs="Calibri"/>
      <w:kern w:val="0"/>
      <w:sz w:val="22"/>
      <w14:ligatures w14:val="none"/>
    </w:rPr>
  </w:style>
  <w:style w:type="paragraph" w:styleId="Obsah2">
    <w:name w:val="toc 2"/>
    <w:basedOn w:val="Normln"/>
    <w:uiPriority w:val="1"/>
    <w:qFormat/>
    <w:rsid w:val="004416E5"/>
    <w:pPr>
      <w:widowControl w:val="0"/>
      <w:autoSpaceDE w:val="0"/>
      <w:autoSpaceDN w:val="0"/>
      <w:spacing w:before="123" w:after="0" w:line="240" w:lineRule="auto"/>
      <w:ind w:left="100"/>
    </w:pPr>
    <w:rPr>
      <w:rFonts w:ascii="Calibri" w:eastAsia="Calibri" w:hAnsi="Calibri" w:cs="Calibr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Springer Drahomíra, doc. Ing. Ph.D.</dc:creator>
  <cp:keywords/>
  <dc:description/>
  <cp:lastModifiedBy>Springer Drahomíra, doc. Ing. Ph.D.</cp:lastModifiedBy>
  <cp:revision>2</cp:revision>
  <cp:lastPrinted>2025-01-29T12:20:00Z</cp:lastPrinted>
  <dcterms:created xsi:type="dcterms:W3CDTF">2025-01-31T13:04:00Z</dcterms:created>
  <dcterms:modified xsi:type="dcterms:W3CDTF">2025-01-31T13:04:00Z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2025-01-28T12:59:08Z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f1495f21-953c-482f-9609-9d927b9baaf8</vt:lpwstr>
  </property>
  <property fmtid="{D5CDD505-2E9C-101B-9397-08002B2CF9AE}" pid="8" name="MSIP_Label_2063cd7f-2d21-486a-9f29-9c1683fdd175_ContentBits">
    <vt:lpwstr>0</vt:lpwstr>
  </property>
</Properties>
</file>