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17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8"/>
        <w:gridCol w:w="2632"/>
        <w:gridCol w:w="10960"/>
      </w:tblGrid>
      <w:tr>
        <w:trPr>
          <w:tblHeader w:val="true"/>
          <w:trHeight w:val="588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Odb.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Výkon</w:t>
            </w:r>
          </w:p>
        </w:tc>
        <w:tc>
          <w:tcPr>
            <w:tcW w:w="10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BE4D5" w:themeFill="accent2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Připomínky VZP ČR</w:t>
            </w:r>
          </w:p>
        </w:tc>
      </w:tr>
      <w:tr>
        <w:trPr>
          <w:trHeight w:val="1274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001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01027</w:t>
              <w:br/>
              <w:br/>
              <w:t>ROZHOVOR PL O PLÁNU PŘIMĚŘENÉ PÉČE V KONTEXTU PÉČE V ZÁVĚRU ŽIVOTA</w:t>
              <w:br/>
              <w:br/>
              <w:t>nový výkon</w:t>
            </w:r>
          </w:p>
        </w:tc>
        <w:tc>
          <w:tcPr>
            <w:tcW w:w="10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Nesouhlas se zavedením nového výkonu, neboť  již existuje výkon 80056  </w:t>
            </w:r>
            <w:r>
              <w:rPr>
                <w:rFonts w:cs="Calibri" w:cstheme="minorHAnsi"/>
                <w:color w:val="333333"/>
                <w:sz w:val="18"/>
                <w:szCs w:val="18"/>
                <w:shd w:fill="FFFFFF" w:val="clear"/>
              </w:rPr>
              <w:t xml:space="preserve">ROZHOVOR PALIATRA S PACIENTEM O PLÁNU PŘIMĚŘENÉ PÉČE V KONTEXTU ZÁVAŽNÉHO ŽIVOT OHROŽUJÍCÍHO ONEMOCNĚNÍ </w:t>
            </w:r>
            <w:r>
              <w:rPr>
                <w:rFonts w:eastAsia="Times New Roman" w:cs="Calibri" w:cstheme="minorHAnsi"/>
                <w:color w:val="000000"/>
                <w:sz w:val="18"/>
                <w:szCs w:val="18"/>
                <w:lang w:eastAsia="cs-CZ"/>
              </w:rPr>
              <w:t>v rámci odb. 720 - paliativní medicína, lze zvážit jeho sdílení s dalšími odbornostmi při souhlasu autorské OS a s úpravami podmínek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pro VPL (kvalifikace, výběr pacientů přes surprise question?), 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color w:val="CE181E"/>
              </w:rPr>
            </w:pP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Jsme toho názoru, že výkon umožňující tento rozhovor prováděný ošetřujícím registrujícím lékařem, by měl být v autorské odbornosti 001 a 002. Proto jsme postavili tento výkon ve spolupráci s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e zástupci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 OS paliativní medicíny.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nesouhlasí OM: A a Podmínka pro S- kurz IPVZ- prosíme specifikovat (dříve povinný specializační kurz pro VPL Paliativní péče nebo jiný? Co když bude kurz pro nezájem zrušen, jak PLDD?)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Kurz na IPVZ se připravuje ve spolupráci Katedry VPL a zástupci OS paliativní medicíny. Přislíbeno, že bude konkretizován do 6.3.2025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odhad 10.000/rok  a tedy případný odhad dopadů se jeví jako podhodnocený (s ohledem na počty pacientů u kterých by odpověď na SQ byla kladná)- identické číslo v návrhu odb. 720 pro výkon 80056, kdy počet paliatrů je ale výrazně nižší než počet VPL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color w:val="CE181E"/>
              </w:rPr>
            </w:pP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Nesouhlasíme s uvedeným podhodnocením. Nemyslíme, že odhadovaný počet výkonů uvedený paliatry odpovídá realitě. 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Požadujeme stanovisko OS paliativní medicíny.   </w:t>
            </w:r>
            <w:r>
              <w:rPr>
                <w:rFonts w:eastAsia="Times New Roman" w:cs="Calibri"/>
                <w:b/>
                <w:color w:val="CE181E"/>
                <w:sz w:val="18"/>
                <w:szCs w:val="18"/>
                <w:lang w:eastAsia="cs-CZ"/>
              </w:rPr>
              <w:t>Požádali jsme zástupce OS paliativní medicíny o účast na pracovním jednání.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>
        <w:trPr>
          <w:trHeight w:val="1667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001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01210</w:t>
              <w:br/>
              <w:br/>
              <w:t>TEST MENTÁLNÍCH FUNKCÍ V ORDINACI PRAKTICKÉHO LÉKAŘE</w:t>
              <w:br/>
              <w:br/>
            </w:r>
            <w:r>
              <w:rPr>
                <w:rFonts w:eastAsia="Times New Roman" w:cs="Calibri"/>
                <w:b/>
                <w:bCs/>
                <w:strike/>
                <w:color w:val="000000"/>
                <w:sz w:val="18"/>
                <w:szCs w:val="18"/>
                <w:lang w:eastAsia="cs-CZ"/>
              </w:rPr>
              <w:t>nový výkon</w:t>
            </w:r>
          </w:p>
        </w:tc>
        <w:tc>
          <w:tcPr>
            <w:tcW w:w="10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Nejedná se o nový výkon - výkon již  SZV existuje.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 - </w:t>
            </w:r>
            <w:r>
              <w:rPr>
                <w:rFonts w:eastAsia="Times New Roman" w:cs="Calibri"/>
                <w:b/>
                <w:color w:val="CE181E"/>
                <w:sz w:val="18"/>
                <w:szCs w:val="18"/>
                <w:lang w:eastAsia="cs-CZ"/>
              </w:rPr>
              <w:t>Jedná se o změnové řízení.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Nejasnost u frekvenčního omezení - 1/1 rok nebo 4/1 rok (viz popis výkonu).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-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Pro zhodnocení mentálních funkcí pacie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n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ta a rozhodnutí o další léčbě, by měl být test optimálně prováděn 1x za čtvrtletí. Jak je stanoveno v doporučených postupech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a v podmínkách úhrady léčivých přípravků – kognitiv.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Jedná se tedy o nápravu frekvence dle současných doporučeních.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Testy může s pacientem administrovat sestra S2, výsledek hodnotí v kontextu dalších příznaků lékař. Doporučujeme adekvátně rozdělit čas nositelů dle nejnižšího možného (návrh 15-20 min S, 5 L) a zvýšit OF na 4/rok s ohledem na požadavky kladné preskripcí kognitv.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-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Jedná se o lékařský výkon,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kdy uvedené testy provádí lékař.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Je otázkou, zda v Popisu, upravovat další OF dle typu vyšetření, pokud ano- tak u screeningu by mělo být OF 1/2 roky v návaznosti na pozitivní MiniCog,  -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 OF je popsána pro větší transparentnost vykazování pro zdravotní pojišťovny. Souhlas s úpravou OF 1/2 roky u pozitivního MiniCOG .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>
        <w:trPr>
          <w:trHeight w:val="1466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001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01211</w:t>
              <w:br/>
              <w:br/>
              <w:t>PÉČE O PACIENTA S DEMENCÍ PRAKTICKÝM LÉKAŘEM</w:t>
              <w:br/>
              <w:br/>
            </w:r>
            <w:r>
              <w:rPr>
                <w:rFonts w:eastAsia="Times New Roman" w:cs="Calibri"/>
                <w:b/>
                <w:bCs/>
                <w:strike/>
                <w:color w:val="000000"/>
                <w:sz w:val="18"/>
                <w:szCs w:val="18"/>
                <w:lang w:eastAsia="cs-CZ"/>
              </w:rPr>
              <w:t>nový výkon</w:t>
            </w:r>
          </w:p>
        </w:tc>
        <w:tc>
          <w:tcPr>
            <w:tcW w:w="10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Nejedná se o nový výkon - výkon již SZV existuje.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  - </w:t>
            </w:r>
            <w:r>
              <w:rPr>
                <w:rFonts w:eastAsia="Times New Roman" w:cs="Calibri"/>
                <w:b/>
                <w:color w:val="CE181E"/>
                <w:sz w:val="18"/>
                <w:szCs w:val="18"/>
                <w:lang w:eastAsia="cs-CZ"/>
              </w:rPr>
              <w:t>Jedná se o změnové řízení.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Dle novelizovaného DP Demence SVL 2024 U stabilizovaných pacientů je vhodná klinická kontrola minimálně 1x za 6 měsíců- návrh tedy ponechat OF 2/1 rok, s tím, že pro účely preskripce 4x ročně je možné využít samotný 01210- test mentálních fcí. V případě nestabilních pacientů padají častější návštěvy pacientů do kapitace, event.. je na místě předání do péče specialisty ke stabilizaci stavu (psychitr/neurolog/geriatr).  - -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Souhlasíme s frekvencí  2/1 rok, pokud bude platit druhá část souvětí, že pro účely preskripce je možné 4xročně využít výkon 01210. To však zpochybňuje připomínka VZP u výkonu 01210 (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 xml:space="preserve">viz </w:t>
            </w:r>
            <w:r>
              <w:rPr>
                <w:rFonts w:eastAsia="Times New Roman" w:cs="Calibri"/>
                <w:color w:val="CE181E"/>
                <w:sz w:val="18"/>
                <w:szCs w:val="18"/>
                <w:lang w:eastAsia="cs-CZ"/>
              </w:rPr>
              <w:t>řádek tabulky výše).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>
        <w:trPr>
          <w:trHeight w:val="423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999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09170</w:t>
              <w:br/>
              <w:br/>
              <w:t>PSYCHOSOMATICKÁ INTERVENCE</w:t>
              <w:br/>
              <w:br/>
            </w:r>
            <w:r>
              <w:rPr>
                <w:rFonts w:eastAsia="Times New Roman" w:cs="Calibri"/>
                <w:b/>
                <w:bCs/>
                <w:strike/>
                <w:color w:val="000000"/>
                <w:sz w:val="18"/>
                <w:szCs w:val="18"/>
                <w:lang w:eastAsia="cs-CZ"/>
              </w:rPr>
              <w:t>nový výkon</w:t>
            </w:r>
          </w:p>
        </w:tc>
        <w:tc>
          <w:tcPr>
            <w:tcW w:w="10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Není doloženo stanovisko Společnosti psychosomatické medicíny ČLS JEP.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 - </w:t>
            </w:r>
            <w:r>
              <w:rPr>
                <w:rFonts w:eastAsia="Times New Roman" w:cs="Calibri"/>
                <w:b/>
                <w:color w:val="CE181E"/>
                <w:sz w:val="18"/>
                <w:szCs w:val="18"/>
                <w:lang w:eastAsia="cs-CZ"/>
              </w:rPr>
              <w:t>Výkon je mezioborový a žádost o změnu může podat odbornost 001 jako autorská odbornost. Nicméně po proběhlém jednání s OS předpokládáme dodání souhlasného stanoviska.</w:t>
            </w:r>
          </w:p>
          <w:p>
            <w:pPr>
              <w:pStyle w:val="Normal"/>
              <w:spacing w:lineRule="auto" w:line="240" w:before="0" w:after="0"/>
              <w:ind w:left="240" w:hanging="240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ind w:left="240" w:hanging="240"/>
              <w:contextualSpacing/>
              <w:rPr/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Nesouhlas, výkon byl dlouho diskutován a je kompromisem se Společností psychosomatické medicíny ČLS JEP, a to včetně podmínek pro nositele. Nyní se výkon zavádí do praxe (od r. 2024).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Další změny výkonu je možné provádět až poté, jak bude v praxi probíhat.</w:t>
              <w:br/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Navrhovanou část Podmínky: „Pro nasmlouvání výkonu je dostačující doložit potvrzení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o zahájení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výše uvedeného kurzu a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zařazení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do sebezkušenostní skupiny.“ považujeme (v kontextu diskusí o daném výkonu)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za naprosto nedostatečnou - není garance, že lékař skutečně dokončí a rozšíří si tak kvalifikaci o psychosomatiku.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 xml:space="preserve">  -</w:t>
            </w:r>
            <w:r>
              <w:rPr>
                <w:rFonts w:eastAsia="Times New Roman" w:cs="Calibri"/>
                <w:b w:val="false"/>
                <w:bCs w:val="false"/>
                <w:color w:val="CE181E"/>
                <w:sz w:val="18"/>
                <w:szCs w:val="18"/>
                <w:lang w:eastAsia="cs-CZ"/>
              </w:rPr>
              <w:t>P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o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proběhlém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jednání s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OS psychosomatické medicíny bylo domluveno: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Nadále trvá podmínka absolvování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 kurz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u. Dostačující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by mělo být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 potvrzení o zahájeném sebezkušenostním výcviku s tím, že do 1 roku je nutné pro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9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zachování nasmlouvání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9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výkonu doložit absolvování min. 60 hod. výcviku. Cílem je i nadále absolvovat výcvik kompletní, 120 hod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(optimálně do 2 let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od zahájení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)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.  Dále v souladu se stávající úpravou, bude nutné 1x ročně doložit supervizi (např. účast na Bálintovské skupině).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Takto 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navrhujeme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 uprav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>it</w:t>
            </w:r>
            <w:r>
              <w:rPr>
                <w:rFonts w:eastAsia="Times New Roman" w:cs="Calibri" w:ascii="Aptos;Aptos EmbeddedFont;Aptos MSFontService;Calibri;Helvetica;sans-serif" w:hAnsi="Aptos;Aptos EmbeddedFont;Aptos MSFontService;Calibri;Helvetica;sans-serif"/>
                <w:b w:val="false"/>
                <w:i w:val="false"/>
                <w:caps w:val="false"/>
                <w:smallCaps w:val="false"/>
                <w:color w:val="CE181E"/>
                <w:spacing w:val="0"/>
                <w:sz w:val="19"/>
                <w:szCs w:val="18"/>
                <w:lang w:eastAsia="cs-CZ"/>
              </w:rPr>
              <w:t xml:space="preserve"> podmínky výkonu.</w:t>
            </w:r>
            <w:r>
              <w:rPr>
                <w:rFonts w:eastAsia="Times New Roman" w:cs="Calibri"/>
                <w:b/>
                <w:color w:val="CE181E"/>
                <w:sz w:val="18"/>
                <w:szCs w:val="18"/>
                <w:lang w:eastAsia="cs-CZ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</w:tc>
      </w:tr>
    </w:tbl>
    <w:p>
      <w:pPr>
        <w:sectPr>
          <w:footerReference w:type="default" r:id="rId2"/>
          <w:type w:val="nextPage"/>
          <w:pgSz w:orient="landscape" w:w="16838" w:h="11906"/>
          <w:pgMar w:left="1417" w:right="1417" w:header="0" w:top="708" w:footer="708" w:bottom="1417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Tlotextu"/>
        <w:rPr/>
      </w:pPr>
      <w:r>
        <w:rPr/>
        <w:t>Připomínky SZP</w:t>
      </w:r>
    </w:p>
    <w:tbl>
      <w:tblPr>
        <w:tblStyle w:val="Mkatabulky"/>
        <w:tblW w:w="138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0"/>
        <w:gridCol w:w="4961"/>
        <w:gridCol w:w="6096"/>
      </w:tblGrid>
      <w:tr>
        <w:trPr>
          <w:trHeight w:val="942" w:hRule="atLeast"/>
        </w:trPr>
        <w:tc>
          <w:tcPr>
            <w:tcW w:w="283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</w:rPr>
              <w:t>001, 999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SimSun" w:cs="Calibri" w:cstheme="minorHAnsi"/>
                <w:b/>
                <w:bCs/>
                <w:kern w:val="2"/>
                <w:lang w:eastAsia="hi-IN" w:bidi="hi-IN"/>
              </w:rPr>
              <w:t>Sdružení praktických lékařů ČR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contextualSpacing/>
              <w:jc w:val="both"/>
              <w:rPr/>
            </w:pPr>
            <w:r>
              <w:rPr>
                <w:rFonts w:cs="Arial"/>
                <w:b/>
              </w:rPr>
              <w:t xml:space="preserve">01027 ROZHOVOR PL O PLÁNU PŘIMĚŘENÉ PÉČE V KONTEXTU PÉČE V ZÁVĚRU ŽIVOTA – </w:t>
            </w:r>
            <w:r>
              <w:rPr>
                <w:rFonts w:cs="Arial"/>
              </w:rPr>
              <w:t>návrh na změnu</w:t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6096" w:type="dxa"/>
            <w:tcBorders/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Arial"/>
                <w:b/>
              </w:rPr>
              <w:t>Připomínky: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Potřeba nového výkonu tohoto typu není zdůvodněna. Popis výkonu uvádí otázku – a tím definuje indikaci pacienta? (viz text: “Byl/a byste překvapen/a, kdyby tento pacient v následujícím roce zemřel?“ Pokud si na tuto otázku odpoví lékař NE (nebyl bych překvapen), jedná se o pacienta s paliativními potřebami). Indikace záleží na subjektivním vyhodnocení pocitu překvapení? Preciznější formulace je žádoucí. </w:t>
            </w:r>
            <w:r>
              <w:rPr>
                <w:rFonts w:cs="Arial"/>
                <w:color w:val="CE181E"/>
              </w:rPr>
              <w:t xml:space="preserve">- </w:t>
            </w:r>
            <w:r>
              <w:rPr>
                <w:rFonts w:cs="Arial"/>
                <w:color w:val="CE181E"/>
              </w:rPr>
              <w:t>Souhlasíme s přesnější formulací. Bude definováno ve spolupráci se zástupci OS paliativní medicíny.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Prosíme o stanovisko zástupce odbornosti paliativní medicína. </w:t>
            </w:r>
            <w:r>
              <w:rPr>
                <w:rFonts w:eastAsia="Times New Roman" w:cs="Calibri"/>
                <w:b/>
                <w:color w:val="CE181E"/>
                <w:sz w:val="18"/>
                <w:szCs w:val="18"/>
                <w:lang w:eastAsia="cs-CZ"/>
              </w:rPr>
              <w:t>Požádali jsme zástupce OS paliativní medicíny o účast na pracovním jednání.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Domníváme se, že pokud poskytovaná péče přesahuje rozsah edukace v rámci klinického vyšetření, lze v indikovaných případech využít výkon 09523 EDUKAČNÍ POHOVOR LÉKAŘE S NEMOCNÝM ČI RODINOU. </w:t>
            </w:r>
            <w:r>
              <w:rPr>
                <w:rFonts w:cs="Arial"/>
                <w:color w:val="CE181E"/>
              </w:rPr>
              <w:t>Podmínkou výkonu je absolvování kurzu. Výkon 09523 je otevřen všem lékařům kategorie L2.</w:t>
            </w:r>
          </w:p>
          <w:p>
            <w:pPr>
              <w:pStyle w:val="ListParagraph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941" w:hRule="atLeast"/>
        </w:trPr>
        <w:tc>
          <w:tcPr>
            <w:tcW w:w="283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contextualSpacing/>
              <w:jc w:val="both"/>
              <w:rPr/>
            </w:pPr>
            <w:r>
              <w:rPr>
                <w:rFonts w:cs="Arial"/>
                <w:b/>
              </w:rPr>
              <w:t xml:space="preserve">01210 TEST MENTÁLNÍCH FUNKCÍ V ORDINACI PRAKTICKÉHO LÉKAŘE – </w:t>
            </w:r>
            <w:r>
              <w:rPr>
                <w:rFonts w:cs="Arial"/>
              </w:rPr>
              <w:t>návrh na změnu</w:t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6096" w:type="dxa"/>
            <w:tcBorders/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Arial"/>
                <w:b/>
              </w:rPr>
              <w:t xml:space="preserve">Připomínky: 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Aktualizace testů – diskuse nutná. Jaký test bude zvolen, bude záležet na čem? Mají testy stejnou časovou náročnost?  </w:t>
            </w:r>
            <w:r>
              <w:rPr>
                <w:rFonts w:cs="Arial"/>
                <w:color w:val="CE181E"/>
              </w:rPr>
              <w:t>Je obvyklé, že testy se střídají. Není žádoucí  jeden konkrétní test opakovat při následném dalším testování. Některé testy jsou časově náročnější. Pro zjednodušení jsme ponechali stávající časovou dotaci.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>Čas nositele by měl být nastaven pouze na vyhodnocení testu + poučení, nikoli na celou dobu trvání výkonu.</w:t>
            </w:r>
          </w:p>
          <w:p>
            <w:pPr>
              <w:pStyle w:val="ListParagraph"/>
              <w:spacing w:before="0" w:after="0"/>
              <w:jc w:val="both"/>
              <w:rPr>
                <w:rFonts w:cs="Arial"/>
                <w:color w:val="CE181E"/>
              </w:rPr>
            </w:pPr>
            <w:r>
              <w:rPr>
                <w:rFonts w:cs="Arial"/>
                <w:color w:val="CE181E"/>
              </w:rPr>
              <w:t xml:space="preserve">Nositel L2 provádí výkon po celou dobu trvání výkonu. </w:t>
            </w:r>
          </w:p>
        </w:tc>
      </w:tr>
      <w:tr>
        <w:trPr>
          <w:trHeight w:val="941" w:hRule="atLeast"/>
        </w:trPr>
        <w:tc>
          <w:tcPr>
            <w:tcW w:w="283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contextualSpacing/>
              <w:jc w:val="both"/>
              <w:rPr/>
            </w:pPr>
            <w:r>
              <w:rPr>
                <w:rFonts w:cs="Arial"/>
                <w:b/>
              </w:rPr>
              <w:t xml:space="preserve">01211 PÉČE O PACIENTA S DEMENCÍ PRAKTICKÝM LÉKAŘEM – </w:t>
            </w:r>
            <w:r>
              <w:rPr>
                <w:rFonts w:cs="Arial"/>
              </w:rPr>
              <w:t>návrh na změnu</w:t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6096" w:type="dxa"/>
            <w:tcBorders/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Arial"/>
                <w:b/>
              </w:rPr>
              <w:t>Připomínky: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>Jaký je důvod vypuštění potvrzení dg. Specialistou?</w:t>
            </w:r>
          </w:p>
          <w:p>
            <w:pPr>
              <w:pStyle w:val="ListParagraph"/>
              <w:numPr>
                <w:ilvl w:val="0"/>
                <w:numId w:val="0"/>
              </w:numPr>
              <w:spacing w:before="0" w:after="0"/>
              <w:ind w:left="1440" w:hanging="0"/>
              <w:jc w:val="both"/>
              <w:rPr>
                <w:color w:val="CE181E"/>
              </w:rPr>
            </w:pPr>
            <w:r>
              <w:rPr>
                <w:rFonts w:cs="Arial"/>
                <w:color w:val="CE181E"/>
              </w:rPr>
              <w:t xml:space="preserve">Změna odráží zkušenosti z praxe. </w:t>
            </w:r>
            <w:r>
              <w:rPr>
                <w:rFonts w:cs="Arial"/>
                <w:color w:val="CE181E"/>
              </w:rPr>
              <w:t xml:space="preserve"> Jsou případy, kdy pacient i rodina odmítnou vyšetření u specialisty a přesto jsou dále léčeni a dispenzarizování u VPL. Může být stanovena podmínka např.: </w:t>
            </w:r>
            <w:r>
              <w:rPr>
                <w:rFonts w:cs="Arial" w:ascii="Calibri" w:hAnsi="Calibri"/>
                <w:color w:val="CE181E"/>
                <w:sz w:val="22"/>
                <w:szCs w:val="22"/>
              </w:rPr>
              <w:t xml:space="preserve"> </w:t>
            </w:r>
            <w:r>
              <w:rPr>
                <w:rFonts w:cs="Arial" w:ascii="Calibri" w:hAnsi="Calibri"/>
                <w:b w:val="false"/>
                <w:i w:val="false"/>
                <w:caps w:val="false"/>
                <w:smallCaps w:val="false"/>
                <w:color w:val="CE181E"/>
                <w:spacing w:val="0"/>
                <w:sz w:val="22"/>
                <w:szCs w:val="22"/>
              </w:rPr>
              <w:t xml:space="preserve">Pacient </w:t>
            </w:r>
            <w:r>
              <w:rPr>
                <w:rFonts w:cs="Arial" w:ascii="Calibri" w:hAnsi="Calibri"/>
                <w:b w:val="false"/>
                <w:i w:val="false"/>
                <w:caps w:val="false"/>
                <w:smallCaps w:val="false"/>
                <w:color w:val="CE181E"/>
                <w:spacing w:val="0"/>
                <w:sz w:val="22"/>
                <w:szCs w:val="22"/>
              </w:rPr>
              <w:t>v souladu s doporučeným postupem</w:t>
            </w:r>
            <w:r>
              <w:rPr>
                <w:rFonts w:cs="Arial" w:ascii="Calibri" w:hAnsi="Calibri"/>
                <w:b w:val="false"/>
                <w:i w:val="false"/>
                <w:caps w:val="false"/>
                <w:smallCaps w:val="false"/>
                <w:color w:val="CE181E"/>
                <w:spacing w:val="0"/>
                <w:sz w:val="22"/>
                <w:szCs w:val="22"/>
              </w:rPr>
              <w:t xml:space="preserve"> </w:t>
            </w:r>
            <w:r>
              <w:rPr>
                <w:rFonts w:cs="Arial" w:ascii="Calibri" w:hAnsi="Calibri"/>
                <w:b w:val="false"/>
                <w:i w:val="false"/>
                <w:caps w:val="false"/>
                <w:smallCaps w:val="false"/>
                <w:color w:val="CE181E"/>
                <w:spacing w:val="0"/>
                <w:sz w:val="22"/>
                <w:szCs w:val="22"/>
              </w:rPr>
              <w:t xml:space="preserve">by měl </w:t>
            </w:r>
            <w:r>
              <w:rPr>
                <w:rFonts w:cs="Arial" w:ascii="Calibri" w:hAnsi="Calibri"/>
                <w:b w:val="false"/>
                <w:i w:val="false"/>
                <w:caps w:val="false"/>
                <w:smallCaps w:val="false"/>
                <w:color w:val="CE181E"/>
                <w:spacing w:val="0"/>
                <w:sz w:val="22"/>
                <w:szCs w:val="22"/>
              </w:rPr>
              <w:t>být před předáním do péče všeobecného praktického lékaře vyšetřen specialistou a mít potvrzenu diagnózu demence.</w:t>
            </w:r>
            <w:r>
              <w:rPr>
                <w:rFonts w:cs="Arial" w:ascii="Calibri" w:hAnsi="Calibri"/>
                <w:color w:val="CE181E"/>
                <w:sz w:val="22"/>
                <w:szCs w:val="22"/>
              </w:rPr>
              <w:t xml:space="preserve"> </w:t>
            </w:r>
            <w:r>
              <w:rPr>
                <w:rFonts w:cs="Arial"/>
                <w:color w:val="CE181E"/>
              </w:rPr>
              <w:t>Pokud toto pacient odmítl, vyšetření specialistou, musí o tom být proveden zápis v dokumentaci a pacient je nadále léčen a disperenzarizován u VPL s možností vykazování tohoto výkonu.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Žádáme rovněž o zdůvodnění dvojnásobného navýšení frekvence z 2/1 rok na 4/1 rok? </w:t>
            </w:r>
            <w:r>
              <w:rPr>
                <w:rFonts w:cs="Arial"/>
                <w:color w:val="CE181E"/>
              </w:rPr>
              <w:t xml:space="preserve">- </w:t>
            </w:r>
            <w:r>
              <w:rPr>
                <w:rFonts w:cs="Arial"/>
                <w:color w:val="CE181E"/>
              </w:rPr>
              <w:t>viz připomínky VZP výše</w:t>
            </w:r>
          </w:p>
          <w:p>
            <w:pPr>
              <w:pStyle w:val="Normal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941" w:hRule="atLeast"/>
        </w:trPr>
        <w:tc>
          <w:tcPr>
            <w:tcW w:w="283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contextualSpacing/>
              <w:jc w:val="both"/>
              <w:rPr/>
            </w:pPr>
            <w:r>
              <w:rPr>
                <w:rFonts w:cs="Arial"/>
                <w:b/>
              </w:rPr>
              <w:t xml:space="preserve">09170 PSYCHOSOMATICKÁ INTERVENCE – </w:t>
            </w:r>
            <w:r>
              <w:rPr>
                <w:rFonts w:cs="Arial"/>
              </w:rPr>
              <w:t>návrh na změnu</w:t>
            </w:r>
          </w:p>
          <w:p>
            <w:pPr>
              <w:pStyle w:val="Normal"/>
              <w:spacing w:lineRule="auto" w:line="259" w:before="0" w:after="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6096" w:type="dxa"/>
            <w:tcBorders/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Arial"/>
                <w:b/>
              </w:rPr>
              <w:t>Připomínky: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Navržené změny nejsou nijak zdůvodněny. Zejména požadavek na snížení počtu absolvovaných supervizí. Diskuse nutná.  </w:t>
            </w:r>
            <w:r>
              <w:rPr>
                <w:rFonts w:cs="Arial"/>
                <w:color w:val="CE181E"/>
              </w:rPr>
              <w:t xml:space="preserve">- </w:t>
            </w:r>
            <w:bookmarkStart w:id="0" w:name="__DdeLink__15900_3797053546"/>
            <w:r>
              <w:rPr>
                <w:rFonts w:cs="Arial"/>
                <w:color w:val="CE181E"/>
              </w:rPr>
              <w:t>viz připomínky VZP výše</w:t>
            </w:r>
            <w:bookmarkEnd w:id="0"/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jc w:val="both"/>
              <w:rPr/>
            </w:pPr>
            <w:r>
              <w:rPr>
                <w:rFonts w:cs="Arial"/>
              </w:rPr>
              <w:t xml:space="preserve">Žádáme o stanovisko Společnosti psychosomatické medicíny ČLS JEP.  </w:t>
            </w:r>
            <w:r>
              <w:rPr>
                <w:rFonts w:cs="Arial"/>
                <w:color w:val="CE181E"/>
              </w:rPr>
              <w:t>viz připomínky VZP výše</w:t>
            </w:r>
          </w:p>
          <w:p>
            <w:pPr>
              <w:pStyle w:val="ListParagraph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footerReference w:type="default" r:id="rId3"/>
      <w:type w:val="nextPage"/>
      <w:pgSz w:orient="landscape" w:w="16838" w:h="11906"/>
      <w:pgMar w:left="1417" w:right="1417" w:header="0" w:top="708" w:footer="708" w:bottom="1417" w:gutter="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ptos">
    <w:altName w:val="Aptos EmbeddedFont"/>
    <w:charset w:val="ee"/>
    <w:family w:val="auto"/>
    <w:pitch w:val="default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403643169"/>
    </w:sdtPr>
    <w:sdtContent>
      <w:p>
        <w:pPr>
          <w:pStyle w:val="Zpat"/>
          <w:jc w:val="right"/>
          <w:rPr/>
        </w:pPr>
        <w:r>
          <w:rPr/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4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552656597"/>
    </w:sdtPr>
    <w:sdtContent>
      <w:p>
        <w:pPr>
          <w:pStyle w:val="Zpat"/>
          <w:jc w:val="right"/>
          <w:rPr/>
        </w:pPr>
        <w:r>
          <w:rPr/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4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Zpa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Nadpis2">
    <w:name w:val="Heading 2"/>
    <w:basedOn w:val="Normal"/>
    <w:link w:val="Nadpis2Char"/>
    <w:uiPriority w:val="9"/>
    <w:qFormat/>
    <w:rsid w:val="00456ae3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c40ef"/>
    <w:rPr/>
  </w:style>
  <w:style w:type="character" w:styleId="ZpatChar" w:customStyle="1">
    <w:name w:val="Zápatí Char"/>
    <w:basedOn w:val="DefaultParagraphFont"/>
    <w:link w:val="Zpat"/>
    <w:uiPriority w:val="99"/>
    <w:qFormat/>
    <w:rsid w:val="00ac40ef"/>
    <w:rPr/>
  </w:style>
  <w:style w:type="character" w:styleId="Nadpis2Char" w:customStyle="1">
    <w:name w:val="Nadpis 2 Char"/>
    <w:basedOn w:val="DefaultParagraphFont"/>
    <w:link w:val="Nadpis2"/>
    <w:uiPriority w:val="9"/>
    <w:qFormat/>
    <w:rsid w:val="00456ae3"/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Internetovodkaz">
    <w:name w:val="Internetový odkaz"/>
    <w:basedOn w:val="DefaultParagraphFont"/>
    <w:uiPriority w:val="99"/>
    <w:unhideWhenUsed/>
    <w:rsid w:val="007759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59b2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7759b2"/>
    <w:rPr>
      <w:color w:val="954F72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e022a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2e022a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2e022a"/>
    <w:rPr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2e022a"/>
    <w:rPr>
      <w:rFonts w:ascii="Segoe UI" w:hAnsi="Segoe UI" w:cs="Segoe UI"/>
      <w:sz w:val="18"/>
      <w:szCs w:val="18"/>
    </w:rPr>
  </w:style>
  <w:style w:type="character" w:styleId="OdstavecseseznamemChar" w:customStyle="1">
    <w:name w:val="Odstavec se seznamem Char"/>
    <w:basedOn w:val="DefaultParagraphFont"/>
    <w:link w:val="Odstavecseseznamem"/>
    <w:uiPriority w:val="34"/>
    <w:qFormat/>
    <w:locked/>
    <w:rsid w:val="00416615"/>
    <w:rPr/>
  </w:style>
  <w:style w:type="character" w:styleId="Zkladntext" w:customStyle="1">
    <w:name w:val="Základní text_"/>
    <w:basedOn w:val="DefaultParagraphFont"/>
    <w:link w:val="Zkladntext1"/>
    <w:qFormat/>
    <w:locked/>
    <w:rsid w:val="00a477a6"/>
    <w:rPr>
      <w:rFonts w:ascii="Arial" w:hAnsi="Arial" w:cs="Arial"/>
      <w:shd w:fill="FFFFFF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ascii="Calibri" w:hAnsi="Calibri" w:eastAsia="Calibri" w:cs="Arial"/>
      <w:b/>
      <w:sz w:val="18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Courier New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Courier New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Courier New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ascii="Calibri" w:hAnsi="Calibri" w:eastAsia="Times New Roman" w:cs="Calibri"/>
      <w:sz w:val="18"/>
      <w:szCs w:val="18"/>
      <w:lang w:eastAsia="cs-CZ"/>
    </w:rPr>
  </w:style>
  <w:style w:type="character" w:styleId="ListLabel183">
    <w:name w:val="ListLabel 183"/>
    <w:qFormat/>
    <w:rPr>
      <w:rFonts w:cs="Calibri" w:cstheme="minorHAnsi"/>
      <w:sz w:val="18"/>
      <w:szCs w:val="18"/>
    </w:rPr>
  </w:style>
  <w:style w:type="character" w:styleId="ListLabel184">
    <w:name w:val="ListLabel 184"/>
    <w:qFormat/>
    <w:rPr>
      <w:rFonts w:ascii="Calibri" w:hAnsi="Calibri" w:cs="Symbol"/>
      <w:sz w:val="18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cs="Symbol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ascii="Calibri" w:hAnsi="Calibri" w:cs="Symbol"/>
      <w:b/>
      <w:sz w:val="18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ascii="Calibri" w:hAnsi="Calibri" w:cs="Symbol"/>
      <w:b/>
      <w:sz w:val="18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ascii="Calibri" w:hAnsi="Calibri" w:cs="Symbol"/>
      <w:b/>
      <w:sz w:val="18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Zhlav">
    <w:name w:val="Header"/>
    <w:basedOn w:val="Normal"/>
    <w:link w:val="ZhlavChar"/>
    <w:uiPriority w:val="99"/>
    <w:unhideWhenUsed/>
    <w:rsid w:val="00ac40e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ac40e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5b7c4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2e022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2e022a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e022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9329b3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cs-CZ" w:eastAsia="en-US" w:bidi="ar-SA"/>
    </w:rPr>
  </w:style>
  <w:style w:type="paragraph" w:styleId="Zkladntext1" w:customStyle="1">
    <w:name w:val="Základní text1"/>
    <w:basedOn w:val="Normal"/>
    <w:link w:val="Zkladntext"/>
    <w:qFormat/>
    <w:rsid w:val="00a477a6"/>
    <w:pPr>
      <w:shd w:val="clear" w:color="auto" w:fill="FFFFFF"/>
      <w:spacing w:lineRule="auto" w:line="300" w:before="0" w:after="100"/>
      <w:jc w:val="both"/>
    </w:pPr>
    <w:rPr>
      <w:rFonts w:ascii="Arial" w:hAnsi="Arial" w:cs="Arial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0500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LibreOffice/6.1.4.2$Windows_X86_64 LibreOffice_project/9d0f32d1f0b509096fd65e0d4bec26ddd1938fd3</Application>
  <Pages>4</Pages>
  <Words>1160</Words>
  <Characters>6416</Characters>
  <CharactersWithSpaces>7553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2025-01-26T19:48:00Z</dcterms:created>
  <dc:creator>Nováková Markéta RNDr. Ph.D. (VZP ČR Ústředí)</dc:creator>
  <dc:description/>
  <dc:language>cs-CZ</dc:language>
  <cp:lastModifiedBy/>
  <dcterms:modified xsi:type="dcterms:W3CDTF">2025-02-02T12:08:19Z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