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W w:w="141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5"/>
        <w:gridCol w:w="1484"/>
        <w:gridCol w:w="6181"/>
        <w:gridCol w:w="6179"/>
      </w:tblGrid>
      <w:tr>
        <w:trPr>
          <w:trHeight w:val="3343" w:hRule="atLeast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b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306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b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36055</w:t>
              <w:br/>
              <w:br/>
              <w:t>PŘÍPRAVA A PŘEDÁNÍ PACIENTA Z PÉČE DĚTSKÉHO A DOROSTOVÉHO PSYCHIATRA DO PÉČE PSYCHIATRA PRO DOSPĚLÉ</w:t>
              <w:br/>
              <w:br/>
              <w:t>nový výkon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720" w:hanging="0"/>
              <w:contextualSpacing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98" w:hanging="98"/>
              <w:contextualSpacing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>Tento kód výkonu byl již mezi lety 1992 a 1997 použit pro výkon LUMBOPERITONEÁLNÍ DRENÁŽ, nelze tedy použít. Nejbližší volný kód je 36092.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98" w:hanging="98"/>
              <w:contextualSpacing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>V popisu uvedeno OF 4/rok v posledním roce péče o pacienta. v řádku OF je pak pouze 2/1 den.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98" w:hanging="98"/>
              <w:contextualSpacing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>Obsah výkonu je již pokryt výkony klinických vyšetření nesouhlas se zařazením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</w:r>
          </w:p>
        </w:tc>
        <w:tc>
          <w:tcPr>
            <w:tcW w:w="6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/>
              <w:contextualSpacing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Vypořádání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>: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hanging="0"/>
              <w:rPr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Je možné použít kod 36092.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hanging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Tento výkon lze užít 2x za 1 den, maximálně 4x za rok. </w:t>
            </w:r>
            <w:r>
              <w:rPr>
                <w:b/>
                <w:bCs/>
                <w:sz w:val="18"/>
                <w:szCs w:val="18"/>
              </w:rPr>
              <w:t>Doplnili jsme do RL</w:t>
            </w:r>
            <w:r>
              <w:rPr>
                <w:b/>
                <w:bCs/>
                <w:sz w:val="18"/>
                <w:szCs w:val="18"/>
              </w:rPr>
              <w:t>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Výbor Sekce dětské a dorostové psychiatrie Psychiatrické společnosti ČLPS JEP připravil po dohodě s Psychiatrickou společností ČLPS JEP  podrobné doporučené postupy, i proto aby vyšel vstříc ambulantním psychiatrům pro dospělé a usnadnil jim tímto péči o závažnější  pacienty.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hanging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Potřeba tohoto výkonu tedy byla diskutována i v rámci celé Psychiatrické společnosti ČPS JEP.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/>
              <w:contextualSpacing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>Tento výkon byl předkládán již v roce 2023 a pro jeho schválení byl</w:t>
            </w:r>
            <w:r>
              <w:rPr>
                <w:rFonts w:eastAsia="Times New Roman" w:cs="Calibri"/>
                <w:color w:val="000000"/>
                <w:kern w:val="0"/>
                <w:sz w:val="18"/>
                <w:szCs w:val="18"/>
                <w:lang w:val="cs-CZ" w:eastAsia="cs-CZ" w:bidi="ar-SA"/>
              </w:rPr>
              <w:t>a dána podmínka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 xml:space="preserve"> doložit doporučené postupy (tato podmínka je nyní již splněna).</w:t>
            </w:r>
          </w:p>
        </w:tc>
      </w:tr>
      <w:tr>
        <w:trPr>
          <w:trHeight w:val="1699" w:hRule="atLeast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b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306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b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36070</w:t>
              <w:br/>
              <w:br/>
              <w:t>VÍCERODINNÁ TERAPIE</w:t>
              <w:br/>
              <w:br/>
              <w:t>nový výkon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720" w:hanging="0"/>
              <w:contextualSpacing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ind w:left="240" w:hanging="240"/>
              <w:contextualSpacing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>Tento kód výkonu byl již mezi lety 1992 a 1997 použit pro výkon KRANIOTOMIE PRO DEKOMPRESI CANALIS OPTICUS, nelze tedy použít. Nejbližší volný kód (pokud má být mezera 5 kódů) je 36097.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ind w:left="240" w:hanging="240"/>
              <w:contextualSpacing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b/>
                <w:color w:val="000000"/>
                <w:sz w:val="18"/>
                <w:szCs w:val="18"/>
                <w:lang w:eastAsia="cs-CZ"/>
              </w:rPr>
              <w:t>Z popisu výkonu není jasné, z jakého důvodu nemůže být péče vykazována stávajícími výkony pro terapie.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br/>
            </w:r>
            <w:r>
              <w:rPr>
                <w:rFonts w:cs="Calibri"/>
                <w:color w:val="333333"/>
                <w:sz w:val="18"/>
                <w:szCs w:val="18"/>
                <w:shd w:fill="FFFFFF" w:val="clear"/>
              </w:rPr>
              <w:t xml:space="preserve">upřesnit vykazování  - 12/1 den, 60/1 rok na jednoho člena každé rodiny30 min  ??? 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ind w:left="240" w:hanging="240"/>
              <w:contextualSpacing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>Dotace výkonu 12/den znamená až 6-hod. terapii, což je v praxi nepředstavitelné.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ind w:left="240" w:hanging="240"/>
              <w:contextualSpacing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>V RL uvedeno, že rodina podepíše informovaný souhlas s terapií a zároveň s možností konzultace stavu s dalšími odborníky – pediatr, nutriční terapeut, dětský gynekolog" - jak je zajištěna návaznost na vykazování u těchto odborníků, kdy zcela logicky tito odborníci nebudou mít všechny dotčené pacienty ve své péči??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</w:r>
          </w:p>
        </w:tc>
        <w:tc>
          <w:tcPr>
            <w:tcW w:w="6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/>
              <w:contextualSpacing/>
              <w:rPr>
                <w:rFonts w:ascii="Calibri" w:hAnsi="Calibri" w:eastAsia="Times New Roman" w:cs="Calibri"/>
                <w:b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 w:ascii="Calibri" w:hAnsi="Calibri"/>
                <w:b/>
                <w:bCs/>
                <w:color w:val="000000"/>
                <w:sz w:val="18"/>
                <w:szCs w:val="18"/>
                <w:lang w:eastAsia="cs-CZ"/>
              </w:rPr>
              <w:t>Vypořádání: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/>
              <w:contextualSpacing/>
              <w:rPr>
                <w:rFonts w:ascii="Calibri" w:hAnsi="Calibri" w:eastAsia="Times New Roman" w:cs="Calibri"/>
                <w:b w:val="false"/>
                <w:b w:val="false"/>
                <w:bCs w:val="false"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18"/>
                <w:szCs w:val="18"/>
                <w:lang w:eastAsia="cs-CZ"/>
              </w:rPr>
              <w:t>Je možné použít kod 36097.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/>
              <w:contextualSpacing/>
              <w:rPr/>
            </w:pP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18"/>
                <w:szCs w:val="18"/>
                <w:lang w:eastAsia="cs-CZ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/>
              <w:contextualSpacing/>
              <w:rPr>
                <w:rFonts w:ascii="Calibri" w:hAnsi="Calibri" w:eastAsia="Times New Roman" w:cs="Calibri"/>
                <w:b w:val="false"/>
                <w:b w:val="false"/>
                <w:bCs w:val="false"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18"/>
                <w:szCs w:val="18"/>
                <w:lang w:eastAsia="cs-CZ"/>
              </w:rPr>
              <w:t xml:space="preserve">Jedná se o </w:t>
            </w: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kern w:val="0"/>
                <w:sz w:val="18"/>
                <w:szCs w:val="18"/>
                <w:lang w:val="cs-CZ" w:eastAsia="cs-CZ" w:bidi="ar-SA"/>
              </w:rPr>
              <w:t>vysoce specializovanou</w:t>
            </w: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18"/>
                <w:szCs w:val="18"/>
                <w:lang w:eastAsia="cs-CZ"/>
              </w:rPr>
              <w:t xml:space="preserve"> formu psychoterapie, které se účastní až 3 terapeuti po dobu až šesti hodin denně. Za další lze t</w:t>
            </w: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18"/>
                <w:szCs w:val="18"/>
                <w:lang w:eastAsia="cs-CZ"/>
              </w:rPr>
              <w:t>er</w:t>
            </w: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18"/>
                <w:szCs w:val="18"/>
                <w:lang w:eastAsia="cs-CZ"/>
              </w:rPr>
              <w:t>a</w:t>
            </w: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18"/>
                <w:szCs w:val="18"/>
                <w:lang w:eastAsia="cs-CZ"/>
              </w:rPr>
              <w:t>p</w:t>
            </w: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18"/>
                <w:szCs w:val="18"/>
                <w:lang w:eastAsia="cs-CZ"/>
              </w:rPr>
              <w:t>eu</w:t>
            </w: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18"/>
                <w:szCs w:val="18"/>
                <w:lang w:eastAsia="cs-CZ"/>
              </w:rPr>
              <w:t xml:space="preserve">tické výkony vykazovat pouze lékařem s atestací z psychoterapie, kterou nyní </w:t>
            </w: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18"/>
                <w:szCs w:val="18"/>
                <w:lang w:eastAsia="cs-CZ"/>
              </w:rPr>
              <w:t xml:space="preserve">není </w:t>
            </w: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18"/>
                <w:szCs w:val="18"/>
                <w:lang w:eastAsia="cs-CZ"/>
              </w:rPr>
              <w:t xml:space="preserve">možné </w:t>
            </w: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kern w:val="0"/>
                <w:sz w:val="18"/>
                <w:szCs w:val="18"/>
                <w:lang w:val="cs-CZ" w:eastAsia="cs-CZ" w:bidi="ar-SA"/>
              </w:rPr>
              <w:t>získat</w:t>
            </w: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18"/>
                <w:szCs w:val="18"/>
                <w:lang w:eastAsia="cs-CZ"/>
              </w:rPr>
              <w:t xml:space="preserve"> a psycholog s psychoterapeutickou atestací. To významně zužuje množství nositelů výkonu. Je potřeba aby výkon rodinné terapie mohli vykazovat lékaři a psychologové proškoleni v rodinné terapii poruch příjmu potravy.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/>
              <w:contextualSpacing/>
              <w:rPr/>
            </w:pP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18"/>
                <w:szCs w:val="18"/>
                <w:lang w:eastAsia="cs-CZ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right="0" w:hanging="0"/>
              <w:contextualSpacing/>
              <w:rPr>
                <w:rFonts w:ascii="Calibri" w:hAnsi="Calibri" w:eastAsia="Times New Roman" w:cs="Calibri"/>
                <w:b w:val="false"/>
                <w:b w:val="false"/>
                <w:bCs w:val="false"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18"/>
                <w:szCs w:val="18"/>
                <w:lang w:eastAsia="cs-CZ"/>
              </w:rPr>
              <w:t>Další o</w:t>
            </w: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18"/>
                <w:szCs w:val="18"/>
                <w:lang w:eastAsia="cs-CZ"/>
              </w:rPr>
              <w:t xml:space="preserve">dborníci </w:t>
            </w: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18"/>
                <w:szCs w:val="18"/>
                <w:lang w:eastAsia="cs-CZ"/>
              </w:rPr>
              <w:t xml:space="preserve">nejsou nositeli, </w:t>
            </w: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18"/>
                <w:szCs w:val="18"/>
                <w:lang w:eastAsia="cs-CZ"/>
              </w:rPr>
              <w:t xml:space="preserve">budou oslovováni pouze na konzultace, buď v rámci jednoho zařízení nebo externě, bez dalšího kódování. </w:t>
            </w: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18"/>
                <w:szCs w:val="18"/>
                <w:lang w:eastAsia="cs-CZ"/>
              </w:rPr>
              <w:t>Tato pasáž však v RL nemusí být uvedena.</w:t>
            </w:r>
          </w:p>
        </w:tc>
      </w:tr>
      <w:tr>
        <w:trPr>
          <w:trHeight w:val="1982" w:hRule="atLeast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b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306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b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36048</w:t>
              <w:br/>
              <w:br/>
              <w:t>ŠKÁLOVÁNÍ V DĚTSKÉ A DOROSTOVÉ PSYCHIATRII</w:t>
              <w:br/>
              <w:br/>
              <w:t>změnové řízení: změna OF, popisu a obsahu výkonu, bodů u nositele výkonu a změna bodové hodnoty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818" w:hanging="0"/>
              <w:contextualSpacing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ind w:left="240" w:hanging="142"/>
              <w:contextualSpacing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 xml:space="preserve">Výkon byl zaveden od r. 2022, spektrum škál se nezvyšuje, odůvodnění pro navýšení frekvence je tedy jaké ??? navíc zvýšená frekvence generuje zvýšení časové dotace ošetření  –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eastAsia="cs-CZ"/>
              </w:rPr>
              <w:t>tzn, riziko snížení dostupnosti péče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 xml:space="preserve"> (5x30 min/den plus klinické vyšetření !!!!) </w:t>
            </w:r>
          </w:p>
        </w:tc>
        <w:tc>
          <w:tcPr>
            <w:tcW w:w="6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/>
              <w:contextualSpacing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Vypořádání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>: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Spektrum škál užívaných pro dětskou psychiatrii se v návrhu zvyšuje</w:t>
            </w:r>
            <w:r>
              <w:rPr>
                <w:color w:val="000000"/>
                <w:sz w:val="18"/>
                <w:szCs w:val="18"/>
              </w:rPr>
              <w:t xml:space="preserve">, umožňují se tím implementovat nové poznatky vědy v našem oboru. Navíc se více </w:t>
            </w:r>
            <w:r>
              <w:rPr>
                <w:b/>
                <w:color w:val="000000"/>
                <w:sz w:val="18"/>
                <w:szCs w:val="18"/>
              </w:rPr>
              <w:t>diferencují škály podle druhu psychických obtíží dítěte</w:t>
            </w:r>
            <w:r>
              <w:rPr>
                <w:color w:val="000000"/>
                <w:sz w:val="18"/>
                <w:szCs w:val="18"/>
              </w:rPr>
              <w:t xml:space="preserve">. U nových časově náročných škál zároveň došlo nově k vyškolení pedopsychiatrů a ti je mohou nově využívat v klinické praxi za předpokladu, že čas </w:t>
            </w:r>
            <w:r>
              <w:rPr>
                <w:color w:val="000000"/>
                <w:sz w:val="18"/>
                <w:szCs w:val="18"/>
              </w:rPr>
              <w:t>s</w:t>
            </w:r>
            <w:r>
              <w:rPr>
                <w:color w:val="000000"/>
                <w:sz w:val="18"/>
                <w:szCs w:val="18"/>
              </w:rPr>
              <w:t>trávený škálováním je bodově ohodnocený. Navrhované navýšení frekvence času škálování na pacienta a rok je tedy namístě.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Zvýšená frekvence celkově negeneruje více času na ošetření ambulantních pacientů</w:t>
            </w:r>
            <w:r>
              <w:rPr>
                <w:color w:val="000000"/>
                <w:sz w:val="18"/>
                <w:szCs w:val="18"/>
              </w:rPr>
              <w:t xml:space="preserve"> (protože pedopsychiatr neužívá škálování plošně u všech pacientů), ale </w:t>
            </w:r>
            <w:r>
              <w:rPr>
                <w:b/>
                <w:color w:val="000000"/>
                <w:sz w:val="18"/>
                <w:szCs w:val="18"/>
              </w:rPr>
              <w:t>umožňuje u složitého pacienta pečlivější vyšetření s využitím více dostupných škál.</w:t>
            </w:r>
            <w:r>
              <w:rPr>
                <w:color w:val="000000"/>
                <w:sz w:val="18"/>
                <w:szCs w:val="18"/>
              </w:rPr>
              <w:t xml:space="preserve"> Využití specializovaných škál pak </w:t>
            </w:r>
            <w:r>
              <w:rPr>
                <w:b/>
                <w:color w:val="000000"/>
                <w:sz w:val="18"/>
                <w:szCs w:val="18"/>
              </w:rPr>
              <w:t xml:space="preserve">zkracuje celkovou dobu intenzivní ambulantní péče u jednoho pacienta, </w:t>
            </w:r>
            <w:r>
              <w:rPr>
                <w:color w:val="000000"/>
                <w:sz w:val="18"/>
                <w:szCs w:val="18"/>
              </w:rPr>
              <w:t>protože dobrá diagnostika umožňuje rychlé zacílení léčby a tím kratší dobu na intenzivní sledování dítěte např. po týdnu se zkoušením různých psychofarmak. Výběr psychofarmak se přímo odvozuje o</w:t>
            </w:r>
            <w:r>
              <w:rPr>
                <w:color w:val="000000"/>
                <w:sz w:val="18"/>
                <w:szCs w:val="18"/>
              </w:rPr>
              <w:t>d</w:t>
            </w:r>
            <w:r>
              <w:rPr>
                <w:color w:val="000000"/>
                <w:sz w:val="18"/>
                <w:szCs w:val="18"/>
              </w:rPr>
              <w:t xml:space="preserve"> informací získaných škálováním. </w:t>
            </w:r>
            <w:r>
              <w:rPr>
                <w:b/>
                <w:color w:val="000000"/>
                <w:sz w:val="18"/>
                <w:szCs w:val="18"/>
              </w:rPr>
              <w:t xml:space="preserve">Pomocí škálování navíc může průběžně pedopsychiatr hodnotit </w:t>
            </w:r>
            <w:r>
              <w:rPr>
                <w:color w:val="000000"/>
                <w:sz w:val="18"/>
                <w:szCs w:val="18"/>
              </w:rPr>
              <w:t>např. míru deprese, trvá-li ještě vysoké sebevražedné rizik</w:t>
            </w:r>
            <w:r>
              <w:rPr>
                <w:color w:val="000000"/>
                <w:sz w:val="18"/>
                <w:szCs w:val="18"/>
              </w:rPr>
              <w:t xml:space="preserve"> atd.</w:t>
            </w:r>
            <w:bookmarkStart w:id="0" w:name="_GoBack"/>
            <w:r>
              <w:rPr>
                <w:b/>
                <w:color w:val="000000"/>
                <w:sz w:val="18"/>
                <w:szCs w:val="18"/>
              </w:rPr>
              <w:t xml:space="preserve"> a tím mít přehled o efektivitě zavedené léčby</w:t>
            </w:r>
            <w:bookmarkEnd w:id="0"/>
            <w:r>
              <w:rPr>
                <w:color w:val="000000"/>
                <w:sz w:val="18"/>
                <w:szCs w:val="18"/>
              </w:rPr>
              <w:t>.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Navýšení frekvence škálování</w:t>
            </w:r>
            <w:r>
              <w:rPr>
                <w:color w:val="000000"/>
                <w:sz w:val="18"/>
                <w:szCs w:val="18"/>
              </w:rPr>
              <w:t xml:space="preserve"> za rok u jednoho pacienta tak </w:t>
            </w:r>
            <w:r>
              <w:rPr>
                <w:b/>
                <w:color w:val="000000"/>
                <w:sz w:val="18"/>
                <w:szCs w:val="18"/>
              </w:rPr>
              <w:t>umožňuje lepší diferenciaci péče a její větší specifikaci</w:t>
            </w:r>
            <w:r>
              <w:rPr>
                <w:color w:val="000000"/>
                <w:sz w:val="18"/>
                <w:szCs w:val="18"/>
              </w:rPr>
              <w:t>, čímž se časová dotace na pacienta využije individuálně, zatímco u jiného diagnosticky jasného pacienta se škálování nevyužije, protože ho není třeba a pedopsychiatr nemá důvod ke složité dif. dg. rozvaze.</w:t>
            </w:r>
          </w:p>
          <w:p>
            <w:pPr>
              <w:pStyle w:val="Normal"/>
              <w:rPr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18"/>
                <w:szCs w:val="18"/>
              </w:rPr>
              <w:t>Dříve významně pomáhala s dif. diagnostikou</w:t>
            </w:r>
            <w:r>
              <w:rPr>
                <w:color w:val="000000"/>
                <w:sz w:val="18"/>
                <w:szCs w:val="18"/>
              </w:rPr>
              <w:t xml:space="preserve"> ambulantním pedopsychiatrům </w:t>
            </w:r>
            <w:r>
              <w:rPr>
                <w:b/>
                <w:color w:val="000000"/>
                <w:sz w:val="18"/>
                <w:szCs w:val="18"/>
              </w:rPr>
              <w:t>pedopsychiatrická hospitalizace</w:t>
            </w:r>
            <w:r>
              <w:rPr>
                <w:color w:val="000000"/>
                <w:sz w:val="18"/>
                <w:szCs w:val="18"/>
              </w:rPr>
              <w:t xml:space="preserve">. </w:t>
            </w:r>
            <w:r>
              <w:rPr>
                <w:b/>
                <w:color w:val="000000"/>
                <w:sz w:val="18"/>
                <w:szCs w:val="18"/>
              </w:rPr>
              <w:t>Tento nástroj je nyní pro ambulantního pedopsychiatra téměř nedostupný</w:t>
            </w:r>
            <w:r>
              <w:rPr>
                <w:color w:val="000000"/>
                <w:sz w:val="18"/>
                <w:szCs w:val="18"/>
              </w:rPr>
              <w:t xml:space="preserve">.  </w:t>
            </w:r>
            <w:r>
              <w:rPr>
                <w:b/>
                <w:color w:val="000000"/>
                <w:sz w:val="18"/>
                <w:szCs w:val="18"/>
              </w:rPr>
              <w:t xml:space="preserve">U složitých pacientů imponujících např. jako poruchy chování se suspekcí na autistickou poruchu se hospitalizace nelze i několik měsíců dobrat </w:t>
            </w:r>
            <w:r>
              <w:rPr>
                <w:color w:val="000000"/>
                <w:sz w:val="18"/>
                <w:szCs w:val="18"/>
              </w:rPr>
              <w:t xml:space="preserve">a pedopsychiatr je nucen tyto pacienty zvýšeně sledovat i po týdnu, čímž se mu zabírají kapacity pro nové ambulantní pacienty. </w:t>
            </w:r>
            <w:r>
              <w:rPr>
                <w:b/>
                <w:color w:val="000000"/>
                <w:sz w:val="18"/>
                <w:szCs w:val="18"/>
              </w:rPr>
              <w:t>Pedopsychiatr by měl by tedy mít k dispozici účinný nástroj, jak tyto pacienty diagnostikovat pomocí škálování, zefektivnit tím diferenciálně diagnostickou rozvahu a efektivněji léčit</w:t>
            </w:r>
            <w:r>
              <w:rPr>
                <w:color w:val="000000"/>
                <w:sz w:val="18"/>
                <w:szCs w:val="18"/>
              </w:rPr>
              <w:t xml:space="preserve">. </w:t>
            </w:r>
          </w:p>
          <w:p>
            <w:pPr>
              <w:pStyle w:val="Normal"/>
              <w:spacing w:before="0" w:after="16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Zavedením vyšší frekvence škálování za rok se nesnižuje celkově dostupnost pedopsychiatrické péče, ale právě naopak.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eastAsia="cs-CZ"/>
              </w:rPr>
              <w:t>Zacílená diagnostika zrychluje a zefektivňuje diagnostický proces.</w:t>
            </w:r>
          </w:p>
        </w:tc>
      </w:tr>
      <w:tr>
        <w:trPr>
          <w:trHeight w:val="60" w:hRule="atLeast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b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306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b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36073</w:t>
              <w:br/>
              <w:br/>
              <w:t>DISTANČNÍ KONTAKT V PEDOPSYCHIATRII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b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změnové řízení: změna OF, popisu výkonu, bodů u nositele výkonu a změna bodové hodnoty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ind w:left="240" w:hanging="142"/>
              <w:contextualSpacing/>
              <w:rPr>
                <w:rFonts w:cs="Calibri" w:cstheme="minorHAnsi"/>
                <w:b/>
                <w:b/>
                <w:color w:val="333333"/>
                <w:sz w:val="18"/>
                <w:szCs w:val="18"/>
                <w:shd w:fill="FFFFFF" w:val="clear"/>
              </w:rPr>
            </w:pPr>
            <w:r>
              <w:rPr>
                <w:rFonts w:cs="Calibri" w:cstheme="minorHAnsi"/>
                <w:color w:val="333333"/>
                <w:sz w:val="18"/>
                <w:szCs w:val="18"/>
                <w:shd w:fill="FFFFFF" w:val="clear"/>
              </w:rPr>
              <w:t xml:space="preserve">Vykazování výkonu nově také pro komunikaci mezi poskytovateli (plus zvýšení frekvence z 12 na 30/rok )→ nesouhlas, </w:t>
            </w:r>
            <w:r>
              <w:rPr>
                <w:rFonts w:cs="Calibri" w:cstheme="minorHAnsi"/>
                <w:b/>
                <w:color w:val="333333"/>
                <w:sz w:val="18"/>
                <w:szCs w:val="18"/>
                <w:shd w:fill="FFFFFF" w:val="clear"/>
              </w:rPr>
              <w:t xml:space="preserve">význam obsahu výkonu navržená úprava zcela mění – výkon byl pro zajištění dostupnosti péče nikoliv pro komunikaci mezi poskytovateli.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Helvetica Neue" w:hAnsi="Helvetica Neue"/>
                <w:b/>
                <w:b/>
                <w:color w:val="333333"/>
                <w:sz w:val="21"/>
                <w:szCs w:val="21"/>
                <w:shd w:fill="CCFFCC" w:val="clear"/>
              </w:rPr>
            </w:pPr>
            <w:r>
              <w:rPr>
                <w:rFonts w:ascii="Helvetica Neue" w:hAnsi="Helvetica Neue"/>
                <w:b/>
                <w:color w:val="333333"/>
                <w:sz w:val="21"/>
                <w:szCs w:val="21"/>
                <w:shd w:fill="CCFFCC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</w:r>
          </w:p>
        </w:tc>
        <w:tc>
          <w:tcPr>
            <w:tcW w:w="6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/>
              <w:contextualSpacing/>
              <w:rPr>
                <w:rFonts w:cs="Calibri"/>
                <w:color w:val="333333"/>
                <w:sz w:val="18"/>
                <w:szCs w:val="18"/>
                <w:shd w:fill="FFFFFF" w:val="clear"/>
              </w:rPr>
            </w:pPr>
            <w:r>
              <w:rPr>
                <w:rFonts w:cs="Calibri"/>
                <w:b/>
                <w:bCs/>
                <w:color w:val="333333"/>
                <w:sz w:val="18"/>
                <w:szCs w:val="18"/>
                <w:shd w:fill="FFFFFF" w:val="clear"/>
              </w:rPr>
              <w:t>Vypořádání</w:t>
            </w:r>
            <w:r>
              <w:rPr>
                <w:rFonts w:cs="Calibri"/>
                <w:color w:val="333333"/>
                <w:sz w:val="18"/>
                <w:szCs w:val="18"/>
                <w:shd w:fill="FFFFFF" w:val="clear"/>
              </w:rPr>
              <w:t>: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/>
              <w:contextualSpacing/>
              <w:jc w:val="left"/>
              <w:rPr>
                <w:rFonts w:cs="Calibri"/>
                <w:color w:val="333333"/>
                <w:sz w:val="18"/>
                <w:szCs w:val="18"/>
                <w:shd w:fill="FFFFFF" w:val="clear"/>
              </w:rPr>
            </w:pPr>
            <w:r>
              <w:rPr>
                <w:rFonts w:cs="Calibri"/>
                <w:color w:val="333333"/>
                <w:sz w:val="18"/>
                <w:szCs w:val="18"/>
                <w:shd w:fill="FFFFFF" w:val="clear"/>
              </w:rPr>
              <w:t>Výbor Sekce dětské a dorostové psychiatrie vydal doporučené postupy Telemedicína v pedopsychiatrii, jejichž součástí je i mezioborová konzultace (např. poradenství pro pediatry). Toto byl důvod rozšíření frekvence užití daného výkonu až na 30/1 rok. I p</w:t>
            </w:r>
            <w:r>
              <w:rPr>
                <w:rFonts w:cs="Calibri"/>
                <w:b/>
                <w:bCs/>
                <w:color w:val="333333"/>
                <w:sz w:val="18"/>
                <w:szCs w:val="18"/>
                <w:shd w:fill="FFFFFF" w:val="clear"/>
              </w:rPr>
              <w:t>okud  nebude akceptován tento výkon ke komunikaci lékařů o společném pacientovi, bude přesto potřeba rozšířit výkon ze stávajících 12x za 1 rok  alespoň na 20/1 rok.</w:t>
            </w:r>
          </w:p>
        </w:tc>
      </w:tr>
    </w:tbl>
    <w:p>
      <w:pPr>
        <w:pStyle w:val="Normal"/>
        <w:spacing w:before="0" w:after="160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417" w:right="1417" w:gutter="0" w:header="708" w:top="765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01"/>
    <w:family w:val="swiss"/>
    <w:pitch w:val="variable"/>
  </w:font>
  <w:font w:name="Helvetica Neue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264104791"/>
    </w:sdtPr>
    <w:sdtContent>
      <w:p>
        <w:pPr>
          <w:pStyle w:val="Zpat"/>
          <w:jc w:val="right"/>
          <w:rPr/>
        </w:pPr>
        <w:r>
          <w:rPr/>
          <w:t xml:space="preserve">Stránka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Zpa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hlav"/>
      <w:rPr>
        <w:rFonts w:cs="Calibri" w:cstheme="minorHAnsi"/>
        <w:i/>
        <w:i/>
        <w:iCs/>
        <w:sz w:val="20"/>
        <w:szCs w:val="20"/>
      </w:rPr>
    </w:pPr>
    <w:r>
      <w:rPr>
        <w:rFonts w:cs="Calibri" w:cstheme="minorHAnsi"/>
        <w:b w:val="false"/>
        <w:bCs w:val="false"/>
        <w:i/>
        <w:iCs/>
        <w:sz w:val="20"/>
        <w:szCs w:val="20"/>
      </w:rPr>
      <w:t>Vypořádání</w:t>
    </w:r>
    <w:r>
      <w:rPr>
        <w:rFonts w:cs="Calibri" w:cstheme="minorHAnsi"/>
        <w:i/>
        <w:iCs/>
        <w:sz w:val="20"/>
        <w:szCs w:val="20"/>
      </w:rPr>
      <w:t xml:space="preserve"> p</w:t>
    </w:r>
    <w:r>
      <w:rPr>
        <w:rFonts w:cs="Calibri" w:cstheme="minorHAnsi"/>
        <w:i/>
        <w:iCs/>
        <w:sz w:val="20"/>
        <w:szCs w:val="20"/>
      </w:rPr>
      <w:t>řipomín</w:t>
    </w:r>
    <w:r>
      <w:rPr>
        <w:rFonts w:cs="Calibri" w:cstheme="minorHAnsi"/>
        <w:i/>
        <w:iCs/>
        <w:sz w:val="20"/>
        <w:szCs w:val="20"/>
      </w:rPr>
      <w:t>ek</w:t>
    </w:r>
    <w:r>
      <w:rPr>
        <w:rFonts w:cs="Calibri" w:cstheme="minorHAnsi"/>
        <w:i/>
        <w:iCs/>
        <w:sz w:val="20"/>
        <w:szCs w:val="20"/>
      </w:rPr>
      <w:t xml:space="preserve"> VZP ČR k výkonům PS k SZV při MZ – pracovní jednání 4.2.-6.2.2025 </w:t>
    </w:r>
    <w:r>
      <w:rPr>
        <w:rFonts w:cs="Calibri" w:cstheme="minorHAnsi"/>
        <w:i/>
        <w:iCs/>
        <w:sz w:val="20"/>
        <w:szCs w:val="20"/>
      </w:rPr>
      <w:t>(výkony 36055, 36070, 36048, 36073)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6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s-CZ" w:eastAsia="en-US" w:bidi="ar-SA"/>
    </w:rPr>
  </w:style>
  <w:style w:type="paragraph" w:styleId="Nadpis2">
    <w:name w:val="Heading 2"/>
    <w:basedOn w:val="Normal"/>
    <w:link w:val="Nadpis2Char"/>
    <w:uiPriority w:val="9"/>
    <w:qFormat/>
    <w:rsid w:val="00456ae3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cs-CZ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hlavChar" w:customStyle="1">
    <w:name w:val="Záhlaví Char"/>
    <w:basedOn w:val="DefaultParagraphFont"/>
    <w:link w:val="Zhlav"/>
    <w:uiPriority w:val="99"/>
    <w:qFormat/>
    <w:rsid w:val="00ac40ef"/>
    <w:rPr/>
  </w:style>
  <w:style w:type="character" w:styleId="ZpatChar" w:customStyle="1">
    <w:name w:val="Zápatí Char"/>
    <w:basedOn w:val="DefaultParagraphFont"/>
    <w:link w:val="Zpat"/>
    <w:uiPriority w:val="99"/>
    <w:qFormat/>
    <w:rsid w:val="00ac40ef"/>
    <w:rPr/>
  </w:style>
  <w:style w:type="character" w:styleId="Nadpis2Char" w:customStyle="1">
    <w:name w:val="Nadpis 2 Char"/>
    <w:basedOn w:val="DefaultParagraphFont"/>
    <w:link w:val="Nadpis2"/>
    <w:uiPriority w:val="9"/>
    <w:qFormat/>
    <w:rsid w:val="00456ae3"/>
    <w:rPr>
      <w:rFonts w:ascii="Times New Roman" w:hAnsi="Times New Roman" w:eastAsia="Times New Roman" w:cs="Times New Roman"/>
      <w:b/>
      <w:bCs/>
      <w:sz w:val="36"/>
      <w:szCs w:val="36"/>
      <w:lang w:eastAsia="cs-CZ"/>
    </w:rPr>
  </w:style>
  <w:style w:type="character" w:styleId="Internetovodkaz">
    <w:name w:val="Internetový odkaz"/>
    <w:basedOn w:val="DefaultParagraphFont"/>
    <w:uiPriority w:val="99"/>
    <w:unhideWhenUsed/>
    <w:rsid w:val="007759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7759b2"/>
    <w:rPr>
      <w:color w:val="605E5C"/>
      <w:shd w:fill="E1DFDD" w:val="clear"/>
    </w:rPr>
  </w:style>
  <w:style w:type="character" w:styleId="Navtveninternetovodkaz">
    <w:name w:val="Navštívený internetový odkaz"/>
    <w:basedOn w:val="DefaultParagraphFont"/>
    <w:uiPriority w:val="99"/>
    <w:semiHidden/>
    <w:unhideWhenUsed/>
    <w:rsid w:val="007759b2"/>
    <w:rPr>
      <w:color w:val="954F72" w:themeColor="followedHyperlink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2e022a"/>
    <w:rPr>
      <w:sz w:val="16"/>
      <w:szCs w:val="16"/>
    </w:rPr>
  </w:style>
  <w:style w:type="character" w:styleId="TextkomenteChar" w:customStyle="1">
    <w:name w:val="Text komentáře Char"/>
    <w:basedOn w:val="DefaultParagraphFont"/>
    <w:link w:val="Textkomente"/>
    <w:uiPriority w:val="99"/>
    <w:semiHidden/>
    <w:qFormat/>
    <w:rsid w:val="002e022a"/>
    <w:rPr>
      <w:sz w:val="20"/>
      <w:szCs w:val="20"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qFormat/>
    <w:rsid w:val="002e022a"/>
    <w:rPr>
      <w:b/>
      <w:bCs/>
      <w:sz w:val="20"/>
      <w:szCs w:val="20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2e022a"/>
    <w:rPr>
      <w:rFonts w:ascii="Segoe UI" w:hAnsi="Segoe UI" w:cs="Segoe UI"/>
      <w:sz w:val="18"/>
      <w:szCs w:val="18"/>
    </w:rPr>
  </w:style>
  <w:style w:type="character" w:styleId="OdstavecseseznamemChar" w:customStyle="1">
    <w:name w:val="Odstavec se seznamem Char"/>
    <w:basedOn w:val="DefaultParagraphFont"/>
    <w:link w:val="Odstavecseseznamem"/>
    <w:uiPriority w:val="34"/>
    <w:qFormat/>
    <w:locked/>
    <w:rsid w:val="00416615"/>
    <w:rPr/>
  </w:style>
  <w:style w:type="character" w:styleId="Zkladntext" w:customStyle="1">
    <w:name w:val="Základní text_"/>
    <w:basedOn w:val="DefaultParagraphFont"/>
    <w:link w:val="Zkladntext1"/>
    <w:qFormat/>
    <w:locked/>
    <w:rsid w:val="00a477a6"/>
    <w:rPr>
      <w:rFonts w:ascii="Arial" w:hAnsi="Arial" w:cs="Arial"/>
      <w:shd w:fill="FFFFFF" w:val="clear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  <w:lang w:val="zxx" w:eastAsia="zxx" w:bidi="zxx"/>
    </w:rPr>
  </w:style>
  <w:style w:type="paragraph" w:styleId="Zhlavazpat">
    <w:name w:val="Záhlaví a zápatí"/>
    <w:basedOn w:val="Normal"/>
    <w:qFormat/>
    <w:pPr/>
    <w:rPr/>
  </w:style>
  <w:style w:type="paragraph" w:styleId="Zhlav">
    <w:name w:val="Header"/>
    <w:basedOn w:val="Normal"/>
    <w:link w:val="ZhlavChar"/>
    <w:uiPriority w:val="99"/>
    <w:unhideWhenUsed/>
    <w:rsid w:val="00ac40e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pat">
    <w:name w:val="Footer"/>
    <w:basedOn w:val="Normal"/>
    <w:link w:val="ZpatChar"/>
    <w:uiPriority w:val="99"/>
    <w:unhideWhenUsed/>
    <w:rsid w:val="00ac40e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link w:val="OdstavecseseznamemChar"/>
    <w:uiPriority w:val="34"/>
    <w:qFormat/>
    <w:rsid w:val="005b7c4f"/>
    <w:pPr>
      <w:spacing w:before="0" w:after="160"/>
      <w:ind w:left="720" w:hanging="0"/>
      <w:contextualSpacing/>
    </w:pPr>
    <w:rPr/>
  </w:style>
  <w:style w:type="paragraph" w:styleId="Annotationtext">
    <w:name w:val="annotation text"/>
    <w:basedOn w:val="Normal"/>
    <w:link w:val="TextkomenteChar"/>
    <w:uiPriority w:val="99"/>
    <w:semiHidden/>
    <w:unhideWhenUsed/>
    <w:qFormat/>
    <w:rsid w:val="002e022a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PedmtkomenteChar"/>
    <w:uiPriority w:val="99"/>
    <w:semiHidden/>
    <w:unhideWhenUsed/>
    <w:qFormat/>
    <w:rsid w:val="002e022a"/>
    <w:pPr/>
    <w:rPr>
      <w:b/>
      <w:bCs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2e022a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Default" w:customStyle="1">
    <w:name w:val="Default"/>
    <w:qFormat/>
    <w:rsid w:val="009329b3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cs-CZ" w:eastAsia="en-US" w:bidi="ar-SA"/>
    </w:rPr>
  </w:style>
  <w:style w:type="paragraph" w:styleId="Zkladntext1" w:customStyle="1">
    <w:name w:val="Základní text1"/>
    <w:basedOn w:val="Normal"/>
    <w:link w:val="Zkladntext"/>
    <w:qFormat/>
    <w:rsid w:val="00a477a6"/>
    <w:pPr>
      <w:shd w:val="clear" w:color="auto" w:fill="FFFFFF"/>
      <w:spacing w:lineRule="auto" w:line="300" w:before="0" w:after="100"/>
      <w:jc w:val="both"/>
    </w:pPr>
    <w:rPr>
      <w:rFonts w:ascii="Arial" w:hAnsi="Arial" w:cs="Arial"/>
    </w:rPr>
  </w:style>
  <w:style w:type="paragraph" w:styleId="Obsahtabulky">
    <w:name w:val="Obsah tabulky"/>
    <w:basedOn w:val="Normal"/>
    <w:qFormat/>
    <w:pPr>
      <w:widowControl w:val="false"/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39"/>
    <w:rsid w:val="000500c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Application>LibreOffice/7.2.1.2$Windows_X86_64 LibreOffice_project/87b77fad49947c1441b67c559c339af8f3517e22</Application>
  <AppVersion>15.0000</AppVersion>
  <Pages>3</Pages>
  <Words>927</Words>
  <Characters>5337</Characters>
  <CharactersWithSpaces>6241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2025-01-26T19:48:00Z</dcterms:created>
  <dc:creator>Nováková Markéta RNDr. Ph.D. (VZP ČR Ústředí)</dc:creator>
  <dc:description/>
  <dc:language>cs-CZ</dc:language>
  <cp:lastModifiedBy>Tomáš Havelka</cp:lastModifiedBy>
  <dcterms:modified xsi:type="dcterms:W3CDTF">2025-02-01T18:35:23Z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