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1A8BD" w14:textId="77777777" w:rsidR="00664B8F" w:rsidRPr="00777FAA" w:rsidRDefault="00664B8F" w:rsidP="00664B8F">
      <w:pPr>
        <w:pStyle w:val="Odstavecseseznamem"/>
        <w:numPr>
          <w:ilvl w:val="0"/>
          <w:numId w:val="1"/>
        </w:numPr>
        <w:tabs>
          <w:tab w:val="left" w:pos="82"/>
          <w:tab w:val="left" w:pos="224"/>
        </w:tabs>
        <w:spacing w:after="0" w:line="240" w:lineRule="auto"/>
        <w:ind w:left="240" w:hanging="142"/>
        <w:rPr>
          <w:rFonts w:ascii="Calibri" w:eastAsia="Times New Roman" w:hAnsi="Calibri" w:cs="Calibri"/>
          <w:lang w:eastAsia="cs-CZ"/>
        </w:rPr>
      </w:pPr>
      <w:r w:rsidRPr="00777FAA">
        <w:rPr>
          <w:rFonts w:ascii="Calibri" w:eastAsia="Times New Roman" w:hAnsi="Calibri" w:cs="Calibri"/>
          <w:lang w:eastAsia="cs-CZ"/>
        </w:rPr>
        <w:t xml:space="preserve">Prosíme stanovisko ČSÚCH, která by měla přesně nadefinovat případy, kdy bude </w:t>
      </w:r>
      <w:proofErr w:type="spellStart"/>
      <w:r w:rsidRPr="00777FAA">
        <w:rPr>
          <w:rFonts w:ascii="Calibri" w:eastAsia="Times New Roman" w:hAnsi="Calibri" w:cs="Calibri"/>
          <w:lang w:eastAsia="cs-CZ"/>
        </w:rPr>
        <w:t>mTBI</w:t>
      </w:r>
      <w:proofErr w:type="spellEnd"/>
      <w:r w:rsidRPr="00777FAA">
        <w:rPr>
          <w:rFonts w:ascii="Calibri" w:eastAsia="Times New Roman" w:hAnsi="Calibri" w:cs="Calibri"/>
          <w:lang w:eastAsia="cs-CZ"/>
        </w:rPr>
        <w:t xml:space="preserve"> test proveden a kdy ne/bude provedeno i vyšetření CT. CT hlavy je ohodnoceno na cca 2414 bodů a </w:t>
      </w:r>
      <w:proofErr w:type="spellStart"/>
      <w:r w:rsidRPr="00777FAA">
        <w:rPr>
          <w:rFonts w:ascii="Calibri" w:eastAsia="Times New Roman" w:hAnsi="Calibri" w:cs="Calibri"/>
          <w:lang w:eastAsia="cs-CZ"/>
        </w:rPr>
        <w:t>mTBI</w:t>
      </w:r>
      <w:proofErr w:type="spellEnd"/>
      <w:r w:rsidRPr="00777FAA">
        <w:rPr>
          <w:rFonts w:ascii="Calibri" w:eastAsia="Times New Roman" w:hAnsi="Calibri" w:cs="Calibri"/>
          <w:lang w:eastAsia="cs-CZ"/>
        </w:rPr>
        <w:t xml:space="preserve"> test má hodnotu </w:t>
      </w:r>
      <w:proofErr w:type="gramStart"/>
      <w:r w:rsidRPr="00777FAA">
        <w:rPr>
          <w:rFonts w:ascii="Calibri" w:eastAsia="Times New Roman" w:hAnsi="Calibri" w:cs="Calibri"/>
          <w:lang w:eastAsia="cs-CZ"/>
        </w:rPr>
        <w:t>1214b</w:t>
      </w:r>
      <w:proofErr w:type="gramEnd"/>
      <w:r w:rsidRPr="00777FAA">
        <w:rPr>
          <w:rFonts w:ascii="Calibri" w:eastAsia="Times New Roman" w:hAnsi="Calibri" w:cs="Calibri"/>
          <w:lang w:eastAsia="cs-CZ"/>
        </w:rPr>
        <w:t xml:space="preserve"> (aby nedocházelo k „umělému“ navyšování ceny péče o pacienta). Jaká je diagnostická výtěžnost tohoto vyšetření? Levnější než 89615 o 1200 bodů, je dostačující při diagnostice mozku po pádu? CT může vyobrazit i jiné patologie, které případný pád způsobily. Výhodné max u pacientů s kontraindikací použití ionizujícího záření.</w:t>
      </w:r>
    </w:p>
    <w:p w14:paraId="350F4AAB" w14:textId="77777777" w:rsidR="00664B8F" w:rsidRPr="00777FAA" w:rsidRDefault="00664B8F" w:rsidP="00664B8F">
      <w:pPr>
        <w:pStyle w:val="Default"/>
        <w:rPr>
          <w:sz w:val="22"/>
          <w:szCs w:val="22"/>
          <w:lang w:val="cs-CZ"/>
        </w:rPr>
      </w:pPr>
    </w:p>
    <w:p w14:paraId="599009F4" w14:textId="1BE16F27" w:rsidR="00130AAC" w:rsidRPr="00777FAA" w:rsidRDefault="00130AAC" w:rsidP="00664B8F">
      <w:pPr>
        <w:pStyle w:val="Default"/>
        <w:rPr>
          <w:color w:val="4472C4" w:themeColor="accent1"/>
          <w:sz w:val="22"/>
          <w:szCs w:val="22"/>
          <w:lang w:val="cs-CZ"/>
        </w:rPr>
      </w:pPr>
      <w:r w:rsidRPr="00777FAA">
        <w:rPr>
          <w:color w:val="4472C4" w:themeColor="accent1"/>
          <w:sz w:val="22"/>
          <w:szCs w:val="22"/>
          <w:lang w:val="cs-CZ"/>
        </w:rPr>
        <w:t>Stanovisko ČSÚCH, článek 5 Doporučení:</w:t>
      </w:r>
    </w:p>
    <w:p w14:paraId="3DE56F1E" w14:textId="05ABB254" w:rsidR="00664B8F" w:rsidRPr="00777FAA" w:rsidRDefault="00664B8F" w:rsidP="00664B8F">
      <w:pPr>
        <w:pStyle w:val="Default"/>
        <w:rPr>
          <w:color w:val="4472C4" w:themeColor="accent1"/>
          <w:sz w:val="22"/>
          <w:szCs w:val="22"/>
          <w:lang w:val="cs-CZ"/>
        </w:rPr>
      </w:pPr>
      <w:r w:rsidRPr="00777FAA">
        <w:rPr>
          <w:color w:val="4472C4" w:themeColor="accent1"/>
          <w:sz w:val="22"/>
          <w:szCs w:val="22"/>
          <w:lang w:val="cs-CZ"/>
        </w:rPr>
        <w:t xml:space="preserve">U pacientů ve věku </w:t>
      </w:r>
      <w:proofErr w:type="gramStart"/>
      <w:r w:rsidRPr="00777FAA">
        <w:rPr>
          <w:color w:val="4472C4" w:themeColor="accent1"/>
          <w:sz w:val="22"/>
          <w:szCs w:val="22"/>
          <w:lang w:val="cs-CZ"/>
        </w:rPr>
        <w:t>18 - 65</w:t>
      </w:r>
      <w:proofErr w:type="gramEnd"/>
      <w:r w:rsidRPr="00777FAA">
        <w:rPr>
          <w:color w:val="4472C4" w:themeColor="accent1"/>
          <w:sz w:val="22"/>
          <w:szCs w:val="22"/>
          <w:lang w:val="cs-CZ"/>
        </w:rPr>
        <w:t xml:space="preserve"> let s lehkým poraněním hlavy s GCS 14-15 je možné odebrat vzorek krve pro analýzu kombinace biomarkerů GFAP a LCH-1 (sérum nebo plazma), pokud od traumatu uplynulo méně než 12 hodin a pacient nevykazuje žádný z uvedených rizikových faktorů: </w:t>
      </w:r>
    </w:p>
    <w:p w14:paraId="25E4AEE3" w14:textId="554E4A36" w:rsidR="00664B8F" w:rsidRPr="00777FAA" w:rsidRDefault="00664B8F" w:rsidP="00664B8F">
      <w:pPr>
        <w:pStyle w:val="Default"/>
        <w:spacing w:after="30"/>
        <w:ind w:left="360"/>
        <w:rPr>
          <w:color w:val="4472C4" w:themeColor="accent1"/>
          <w:sz w:val="22"/>
          <w:szCs w:val="22"/>
          <w:lang w:val="cs-CZ"/>
        </w:rPr>
      </w:pPr>
      <w:r w:rsidRPr="00777FAA">
        <w:rPr>
          <w:color w:val="4472C4" w:themeColor="accent1"/>
          <w:sz w:val="22"/>
          <w:szCs w:val="22"/>
          <w:lang w:val="cs-CZ"/>
        </w:rPr>
        <w:t>• antikoagulační léčba</w:t>
      </w:r>
    </w:p>
    <w:p w14:paraId="5115FDE6" w14:textId="2E7B16F1" w:rsidR="00664B8F" w:rsidRPr="00777FAA" w:rsidRDefault="00664B8F" w:rsidP="00664B8F">
      <w:pPr>
        <w:pStyle w:val="Default"/>
        <w:spacing w:after="30"/>
        <w:ind w:left="360"/>
        <w:rPr>
          <w:color w:val="4472C4" w:themeColor="accent1"/>
          <w:sz w:val="22"/>
          <w:szCs w:val="22"/>
          <w:lang w:val="cs-CZ"/>
        </w:rPr>
      </w:pPr>
      <w:r w:rsidRPr="00777FAA">
        <w:rPr>
          <w:color w:val="4472C4" w:themeColor="accent1"/>
          <w:sz w:val="22"/>
          <w:szCs w:val="22"/>
          <w:lang w:val="cs-CZ"/>
        </w:rPr>
        <w:t>• zlomenina lebky</w:t>
      </w:r>
    </w:p>
    <w:p w14:paraId="53BA4CAD" w14:textId="432BEB46" w:rsidR="00664B8F" w:rsidRPr="00777FAA" w:rsidRDefault="00664B8F" w:rsidP="00664B8F">
      <w:pPr>
        <w:pStyle w:val="Default"/>
        <w:spacing w:after="30"/>
        <w:ind w:left="360"/>
        <w:rPr>
          <w:color w:val="4472C4" w:themeColor="accent1"/>
          <w:sz w:val="22"/>
          <w:szCs w:val="22"/>
          <w:lang w:val="cs-CZ"/>
        </w:rPr>
      </w:pPr>
      <w:r w:rsidRPr="00777FAA">
        <w:rPr>
          <w:color w:val="4472C4" w:themeColor="accent1"/>
          <w:sz w:val="22"/>
          <w:szCs w:val="22"/>
          <w:lang w:val="cs-CZ"/>
        </w:rPr>
        <w:t>• fokální neurologické deficity</w:t>
      </w:r>
    </w:p>
    <w:p w14:paraId="2D1C66CF" w14:textId="06EDC076" w:rsidR="00664B8F" w:rsidRPr="00777FAA" w:rsidRDefault="00664B8F" w:rsidP="00664B8F">
      <w:pPr>
        <w:pStyle w:val="Default"/>
        <w:spacing w:after="30"/>
        <w:ind w:left="360"/>
        <w:rPr>
          <w:color w:val="4472C4" w:themeColor="accent1"/>
          <w:sz w:val="22"/>
          <w:szCs w:val="22"/>
          <w:lang w:val="cs-CZ"/>
        </w:rPr>
      </w:pPr>
      <w:r w:rsidRPr="00777FAA">
        <w:rPr>
          <w:color w:val="4472C4" w:themeColor="accent1"/>
          <w:sz w:val="22"/>
          <w:szCs w:val="22"/>
          <w:lang w:val="cs-CZ"/>
        </w:rPr>
        <w:t>• ztráta vědomí</w:t>
      </w:r>
    </w:p>
    <w:p w14:paraId="35A0E47F" w14:textId="69FD3526" w:rsidR="00664B8F" w:rsidRPr="00777FAA" w:rsidRDefault="00664B8F" w:rsidP="00664B8F">
      <w:pPr>
        <w:pStyle w:val="Default"/>
        <w:spacing w:after="30"/>
        <w:ind w:left="360"/>
        <w:rPr>
          <w:color w:val="4472C4" w:themeColor="accent1"/>
          <w:sz w:val="22"/>
          <w:szCs w:val="22"/>
          <w:lang w:val="cs-CZ"/>
        </w:rPr>
      </w:pPr>
      <w:r w:rsidRPr="00777FAA">
        <w:rPr>
          <w:color w:val="4472C4" w:themeColor="accent1"/>
          <w:sz w:val="22"/>
          <w:szCs w:val="22"/>
          <w:lang w:val="cs-CZ"/>
        </w:rPr>
        <w:t>• opakované zvracení</w:t>
      </w:r>
    </w:p>
    <w:p w14:paraId="786AB90B" w14:textId="0E00F9FE" w:rsidR="00664B8F" w:rsidRPr="00777FAA" w:rsidRDefault="00664B8F" w:rsidP="00664B8F">
      <w:pPr>
        <w:pStyle w:val="Default"/>
        <w:ind w:left="360"/>
        <w:rPr>
          <w:color w:val="4472C4" w:themeColor="accent1"/>
          <w:sz w:val="22"/>
          <w:szCs w:val="22"/>
          <w:lang w:val="cs-CZ"/>
        </w:rPr>
      </w:pPr>
      <w:r w:rsidRPr="00777FAA">
        <w:rPr>
          <w:color w:val="4472C4" w:themeColor="accent1"/>
          <w:sz w:val="22"/>
          <w:szCs w:val="22"/>
          <w:lang w:val="cs-CZ"/>
        </w:rPr>
        <w:t>• amnézie pacienta netrvala déle než 30 minut</w:t>
      </w:r>
    </w:p>
    <w:p w14:paraId="3149E431" w14:textId="77777777" w:rsidR="00664B8F" w:rsidRPr="00777FAA" w:rsidRDefault="00664B8F" w:rsidP="00664B8F">
      <w:pPr>
        <w:pStyle w:val="Default"/>
        <w:rPr>
          <w:color w:val="4472C4" w:themeColor="accent1"/>
          <w:sz w:val="22"/>
          <w:szCs w:val="22"/>
          <w:lang w:val="cs-CZ"/>
        </w:rPr>
      </w:pPr>
    </w:p>
    <w:p w14:paraId="5A951872" w14:textId="2871B8CD" w:rsidR="00664B8F" w:rsidRPr="00777FAA" w:rsidRDefault="00664B8F" w:rsidP="00664B8F">
      <w:pPr>
        <w:tabs>
          <w:tab w:val="left" w:pos="82"/>
          <w:tab w:val="left" w:pos="224"/>
        </w:tabs>
        <w:spacing w:after="0" w:line="240" w:lineRule="auto"/>
        <w:rPr>
          <w:rFonts w:ascii="Calibri" w:eastAsia="Times New Roman" w:hAnsi="Calibri" w:cs="Calibri"/>
          <w:color w:val="4472C4" w:themeColor="accent1"/>
          <w:lang w:eastAsia="cs-CZ"/>
        </w:rPr>
      </w:pPr>
      <w:r w:rsidRPr="00777FAA">
        <w:rPr>
          <w:color w:val="4472C4" w:themeColor="accent1"/>
        </w:rPr>
        <w:t xml:space="preserve">V případě, že by při vstupním vyšetření pacienta nález CT vyšetření byl negativní a výsledek testu </w:t>
      </w:r>
      <w:proofErr w:type="spellStart"/>
      <w:r w:rsidRPr="00777FAA">
        <w:rPr>
          <w:color w:val="4472C4" w:themeColor="accent1"/>
        </w:rPr>
        <w:t>mTBI</w:t>
      </w:r>
      <w:proofErr w:type="spellEnd"/>
      <w:r w:rsidRPr="00777FAA">
        <w:rPr>
          <w:color w:val="4472C4" w:themeColor="accent1"/>
        </w:rPr>
        <w:t xml:space="preserve"> také negativní, je to pro ošetřujícího lékaře podpůrným argumentem pro </w:t>
      </w:r>
      <w:proofErr w:type="spellStart"/>
      <w:r w:rsidRPr="00777FAA">
        <w:rPr>
          <w:color w:val="4472C4" w:themeColor="accent1"/>
        </w:rPr>
        <w:t>dimisi</w:t>
      </w:r>
      <w:proofErr w:type="spellEnd"/>
      <w:r w:rsidRPr="00777FAA">
        <w:rPr>
          <w:color w:val="4472C4" w:themeColor="accent1"/>
        </w:rPr>
        <w:t xml:space="preserve"> pacienta namísto zvyklé admise k observaci (1)</w:t>
      </w:r>
    </w:p>
    <w:p w14:paraId="4F714F19" w14:textId="77777777" w:rsidR="00664B8F" w:rsidRPr="00777FAA" w:rsidRDefault="00664B8F" w:rsidP="00664B8F">
      <w:pPr>
        <w:tabs>
          <w:tab w:val="left" w:pos="82"/>
          <w:tab w:val="left" w:pos="224"/>
        </w:tabs>
        <w:spacing w:after="0" w:line="240" w:lineRule="auto"/>
        <w:rPr>
          <w:rFonts w:ascii="Calibri" w:eastAsia="Times New Roman" w:hAnsi="Calibri" w:cs="Calibri"/>
          <w:lang w:eastAsia="cs-CZ"/>
        </w:rPr>
      </w:pPr>
    </w:p>
    <w:p w14:paraId="58F80943" w14:textId="1762D5AF" w:rsidR="00130AAC" w:rsidRDefault="00130AAC" w:rsidP="00664B8F">
      <w:pPr>
        <w:tabs>
          <w:tab w:val="left" w:pos="82"/>
          <w:tab w:val="left" w:pos="224"/>
        </w:tabs>
        <w:spacing w:after="0" w:line="240" w:lineRule="auto"/>
        <w:rPr>
          <w:rFonts w:ascii="Calibri" w:eastAsia="Times New Roman" w:hAnsi="Calibri" w:cs="Calibri"/>
          <w:color w:val="4472C4" w:themeColor="accent1"/>
          <w:lang w:eastAsia="cs-CZ"/>
        </w:rPr>
      </w:pPr>
      <w:r w:rsidRPr="00777FAA">
        <w:rPr>
          <w:rFonts w:ascii="Calibri" w:eastAsia="Times New Roman" w:hAnsi="Calibri" w:cs="Calibri"/>
          <w:color w:val="4472C4" w:themeColor="accent1"/>
          <w:lang w:eastAsia="cs-CZ"/>
        </w:rPr>
        <w:t xml:space="preserve">Změna oproti stávající diagnostice: při současném negativním výsledku CT a testu </w:t>
      </w:r>
      <w:proofErr w:type="spellStart"/>
      <w:r w:rsidRPr="00777FAA">
        <w:rPr>
          <w:rFonts w:ascii="Calibri" w:eastAsia="Times New Roman" w:hAnsi="Calibri" w:cs="Calibri"/>
          <w:color w:val="4472C4" w:themeColor="accent1"/>
          <w:lang w:eastAsia="cs-CZ"/>
        </w:rPr>
        <w:t>mTBI</w:t>
      </w:r>
      <w:proofErr w:type="spellEnd"/>
      <w:r w:rsidRPr="00777FAA">
        <w:rPr>
          <w:rFonts w:ascii="Calibri" w:eastAsia="Times New Roman" w:hAnsi="Calibri" w:cs="Calibri"/>
          <w:color w:val="4472C4" w:themeColor="accent1"/>
          <w:lang w:eastAsia="cs-CZ"/>
        </w:rPr>
        <w:t xml:space="preserve"> je pacient propuštěn do domácí péče.</w:t>
      </w:r>
    </w:p>
    <w:p w14:paraId="1BF7E85E" w14:textId="77777777" w:rsidR="00777FAA" w:rsidRDefault="00777FAA" w:rsidP="00664B8F">
      <w:pPr>
        <w:tabs>
          <w:tab w:val="left" w:pos="82"/>
          <w:tab w:val="left" w:pos="224"/>
        </w:tabs>
        <w:spacing w:after="0" w:line="240" w:lineRule="auto"/>
        <w:rPr>
          <w:rFonts w:ascii="Calibri" w:eastAsia="Times New Roman" w:hAnsi="Calibri" w:cs="Calibri"/>
          <w:color w:val="4472C4" w:themeColor="accent1"/>
          <w:lang w:eastAsia="cs-CZ"/>
        </w:rPr>
      </w:pPr>
    </w:p>
    <w:p w14:paraId="048E572D" w14:textId="618B52A7" w:rsidR="00777FAA" w:rsidRPr="00E6024D" w:rsidRDefault="00777FAA" w:rsidP="00664B8F">
      <w:pPr>
        <w:tabs>
          <w:tab w:val="left" w:pos="82"/>
          <w:tab w:val="left" w:pos="224"/>
        </w:tabs>
        <w:spacing w:after="0" w:line="240" w:lineRule="auto"/>
        <w:rPr>
          <w:rFonts w:ascii="Calibri" w:eastAsia="Times New Roman" w:hAnsi="Calibri" w:cs="Calibri"/>
          <w:color w:val="4472C4" w:themeColor="accent1"/>
          <w:u w:val="single"/>
          <w:lang w:eastAsia="cs-CZ"/>
        </w:rPr>
      </w:pPr>
      <w:r w:rsidRPr="00E6024D">
        <w:rPr>
          <w:rFonts w:ascii="Calibri" w:eastAsia="Times New Roman" w:hAnsi="Calibri" w:cs="Calibri"/>
          <w:color w:val="4472C4" w:themeColor="accent1"/>
          <w:u w:val="single"/>
          <w:lang w:eastAsia="cs-CZ"/>
        </w:rPr>
        <w:t>Oproti CT test vykazuje vyšší citlivost a zachycuje i léze, zobrazitelné pouze na MR (2)</w:t>
      </w:r>
    </w:p>
    <w:p w14:paraId="5D5C8210" w14:textId="77777777" w:rsidR="00664B8F" w:rsidRPr="00777FAA" w:rsidRDefault="00664B8F" w:rsidP="00664B8F">
      <w:pPr>
        <w:tabs>
          <w:tab w:val="left" w:pos="82"/>
          <w:tab w:val="left" w:pos="224"/>
        </w:tabs>
        <w:spacing w:after="0" w:line="240" w:lineRule="auto"/>
        <w:rPr>
          <w:rFonts w:ascii="Calibri" w:eastAsia="Times New Roman" w:hAnsi="Calibri" w:cs="Calibri"/>
          <w:lang w:eastAsia="cs-CZ"/>
        </w:rPr>
      </w:pPr>
    </w:p>
    <w:p w14:paraId="4C777863" w14:textId="77777777" w:rsidR="00664B8F" w:rsidRPr="00777FAA" w:rsidRDefault="00664B8F" w:rsidP="00664B8F">
      <w:pPr>
        <w:tabs>
          <w:tab w:val="left" w:pos="82"/>
          <w:tab w:val="left" w:pos="224"/>
        </w:tabs>
        <w:spacing w:after="0" w:line="240" w:lineRule="auto"/>
        <w:rPr>
          <w:rFonts w:ascii="Calibri" w:eastAsia="Times New Roman" w:hAnsi="Calibri" w:cs="Calibri"/>
          <w:lang w:eastAsia="cs-CZ"/>
        </w:rPr>
      </w:pPr>
    </w:p>
    <w:p w14:paraId="41730F69" w14:textId="77777777" w:rsidR="00664B8F" w:rsidRPr="00777FAA" w:rsidRDefault="00664B8F" w:rsidP="00664B8F">
      <w:pPr>
        <w:pStyle w:val="Odstavecseseznamem"/>
        <w:numPr>
          <w:ilvl w:val="0"/>
          <w:numId w:val="1"/>
        </w:numPr>
        <w:autoSpaceDN w:val="0"/>
        <w:spacing w:after="0" w:line="240" w:lineRule="auto"/>
        <w:ind w:left="240" w:hanging="142"/>
        <w:contextualSpacing w:val="0"/>
        <w:jc w:val="both"/>
        <w:rPr>
          <w:rFonts w:cstheme="minorHAnsi"/>
          <w:bCs/>
          <w:iCs/>
        </w:rPr>
      </w:pPr>
      <w:r w:rsidRPr="00777FAA">
        <w:rPr>
          <w:rFonts w:cstheme="minorHAnsi"/>
          <w:b/>
          <w:iCs/>
          <w:u w:val="single"/>
        </w:rPr>
        <w:t>Prosíme o písemné stanovisko indikující odbornosti – tedy České neurologické společnosti ČLS JEP. Je nově navrhovaný výkon součástí doporučených postupů? Žádáme o doložení odkazu na DP, že test nahradí CT.</w:t>
      </w:r>
      <w:r w:rsidRPr="00777FAA">
        <w:rPr>
          <w:rFonts w:cstheme="minorHAnsi"/>
          <w:bCs/>
          <w:iCs/>
        </w:rPr>
        <w:t xml:space="preserve"> (v odůvodnění zavedení výkonu je nový výkon uveden jako alternativa k CT).</w:t>
      </w:r>
    </w:p>
    <w:p w14:paraId="369DA6B7" w14:textId="3662E7C6" w:rsidR="00130AAC" w:rsidRPr="00C35FBD" w:rsidRDefault="00130AAC" w:rsidP="00130AAC">
      <w:pPr>
        <w:pStyle w:val="Odstavecseseznamem"/>
        <w:autoSpaceDN w:val="0"/>
        <w:spacing w:after="0" w:line="240" w:lineRule="auto"/>
        <w:ind w:left="240"/>
        <w:contextualSpacing w:val="0"/>
        <w:jc w:val="both"/>
        <w:rPr>
          <w:rFonts w:cstheme="minorHAnsi"/>
          <w:bCs/>
          <w:iCs/>
          <w:color w:val="4472C4" w:themeColor="accent1"/>
          <w:u w:val="single"/>
        </w:rPr>
      </w:pPr>
      <w:r w:rsidRPr="00777FAA">
        <w:rPr>
          <w:rFonts w:cstheme="minorHAnsi"/>
          <w:bCs/>
          <w:iCs/>
          <w:color w:val="4472C4" w:themeColor="accent1"/>
        </w:rPr>
        <w:t>Navrhovaný výkon je součástí doporučeného postupu České společnosti pro úrazov</w:t>
      </w:r>
      <w:r w:rsidR="0094072B" w:rsidRPr="00777FAA">
        <w:rPr>
          <w:rFonts w:cstheme="minorHAnsi"/>
          <w:bCs/>
          <w:iCs/>
          <w:color w:val="4472C4" w:themeColor="accent1"/>
        </w:rPr>
        <w:t>o</w:t>
      </w:r>
      <w:r w:rsidRPr="00777FAA">
        <w:rPr>
          <w:rFonts w:cstheme="minorHAnsi"/>
          <w:bCs/>
          <w:iCs/>
          <w:color w:val="4472C4" w:themeColor="accent1"/>
        </w:rPr>
        <w:t>u chirurgii</w:t>
      </w:r>
      <w:r w:rsidR="0094072B" w:rsidRPr="00777FAA">
        <w:rPr>
          <w:rFonts w:cstheme="minorHAnsi"/>
          <w:bCs/>
          <w:iCs/>
          <w:color w:val="4472C4" w:themeColor="accent1"/>
        </w:rPr>
        <w:t xml:space="preserve">, protože </w:t>
      </w:r>
      <w:proofErr w:type="spellStart"/>
      <w:r w:rsidR="0094072B" w:rsidRPr="00777FAA">
        <w:rPr>
          <w:rFonts w:cstheme="minorHAnsi"/>
          <w:bCs/>
          <w:iCs/>
          <w:color w:val="4472C4" w:themeColor="accent1"/>
        </w:rPr>
        <w:t>indikujícícmi</w:t>
      </w:r>
      <w:proofErr w:type="spellEnd"/>
      <w:r w:rsidR="0094072B" w:rsidRPr="00777FAA">
        <w:rPr>
          <w:rFonts w:cstheme="minorHAnsi"/>
          <w:bCs/>
          <w:iCs/>
          <w:color w:val="4472C4" w:themeColor="accent1"/>
        </w:rPr>
        <w:t xml:space="preserve"> odbornostmi jsou urgentní příjem, traumatologie, úrazová chirurgie. </w:t>
      </w:r>
      <w:r w:rsidR="0094072B" w:rsidRPr="00C35FBD">
        <w:rPr>
          <w:rFonts w:cstheme="minorHAnsi"/>
          <w:bCs/>
          <w:iCs/>
          <w:color w:val="4472C4" w:themeColor="accent1"/>
          <w:u w:val="single"/>
        </w:rPr>
        <w:t>Neurolog je zván ke konzultaci pouze u závažnějších případů poranění hlavy s GCS 13 a níže</w:t>
      </w:r>
    </w:p>
    <w:p w14:paraId="5A67A8EB" w14:textId="77777777" w:rsidR="0094072B" w:rsidRPr="00777FAA" w:rsidRDefault="0094072B" w:rsidP="00130AAC">
      <w:pPr>
        <w:jc w:val="both"/>
        <w:rPr>
          <w:rFonts w:eastAsia="SimSun" w:cstheme="minorHAnsi"/>
          <w:kern w:val="2"/>
          <w:lang w:eastAsia="hi-IN" w:bidi="hi-IN"/>
        </w:rPr>
      </w:pPr>
    </w:p>
    <w:p w14:paraId="0262AA8C" w14:textId="0B626FCC" w:rsidR="00130AAC" w:rsidRPr="00777FAA" w:rsidRDefault="00664B8F" w:rsidP="00130AAC">
      <w:pPr>
        <w:jc w:val="both"/>
        <w:rPr>
          <w:rFonts w:eastAsia="SimSun" w:cstheme="minorHAnsi"/>
          <w:kern w:val="2"/>
          <w:lang w:eastAsia="hi-IN" w:bidi="hi-IN"/>
        </w:rPr>
      </w:pPr>
      <w:r w:rsidRPr="00777FAA">
        <w:rPr>
          <w:rFonts w:eastAsia="SimSun" w:cstheme="minorHAnsi"/>
          <w:kern w:val="2"/>
          <w:lang w:eastAsia="hi-IN" w:bidi="hi-IN"/>
        </w:rPr>
        <w:t xml:space="preserve">Vzhledem k tomu, že na minulém projednávání nebyl výkon upraven dle předložených připomínek, připomínky uvádíme znovu: </w:t>
      </w:r>
    </w:p>
    <w:p w14:paraId="3864857F" w14:textId="61DAE66D" w:rsidR="00664B8F" w:rsidRPr="00777FAA" w:rsidRDefault="00664B8F" w:rsidP="00664B8F">
      <w:pPr>
        <w:pStyle w:val="Odstavecseseznamem"/>
        <w:numPr>
          <w:ilvl w:val="0"/>
          <w:numId w:val="1"/>
        </w:numPr>
        <w:ind w:left="240" w:hanging="142"/>
        <w:rPr>
          <w:rFonts w:cstheme="minorHAnsi"/>
          <w:bCs/>
          <w:iCs/>
        </w:rPr>
      </w:pPr>
      <w:r w:rsidRPr="00777FAA">
        <w:rPr>
          <w:rFonts w:cstheme="minorHAnsi"/>
          <w:iCs/>
        </w:rPr>
        <w:t>Do popisu výkonu je třeba doplnit jasné indikace</w:t>
      </w:r>
      <w:r w:rsidR="0094072B" w:rsidRPr="00777FAA">
        <w:rPr>
          <w:rFonts w:cstheme="minorHAnsi"/>
          <w:iCs/>
        </w:rPr>
        <w:t xml:space="preserve">: </w:t>
      </w:r>
      <w:r w:rsidR="0094072B" w:rsidRPr="00777FAA">
        <w:rPr>
          <w:rFonts w:cstheme="minorHAnsi"/>
          <w:iCs/>
          <w:color w:val="4472C4" w:themeColor="accent1"/>
        </w:rPr>
        <w:t>pacient ve věku 18-65 let, GCS 14-15, doba od traumatu méně než 12 hodin, pacient nevykazuje: zlomeninu lebky, fokální neurologické deficity, ztrátu vědomí, opakované zvracení, anamnézu delší než 30 minut, neužív</w:t>
      </w:r>
      <w:r w:rsidR="005F16F4" w:rsidRPr="00777FAA">
        <w:rPr>
          <w:rFonts w:cstheme="minorHAnsi"/>
          <w:iCs/>
          <w:color w:val="4472C4" w:themeColor="accent1"/>
        </w:rPr>
        <w:t>á</w:t>
      </w:r>
      <w:r w:rsidR="0094072B" w:rsidRPr="00777FAA">
        <w:rPr>
          <w:rFonts w:cstheme="minorHAnsi"/>
          <w:iCs/>
          <w:color w:val="4472C4" w:themeColor="accent1"/>
        </w:rPr>
        <w:t xml:space="preserve"> antikoagulační léčbu</w:t>
      </w:r>
    </w:p>
    <w:p w14:paraId="03622DE2" w14:textId="30201D8F" w:rsidR="00664B8F" w:rsidRPr="00777FAA" w:rsidRDefault="00664B8F" w:rsidP="00664B8F">
      <w:pPr>
        <w:pStyle w:val="Odstavecseseznamem"/>
        <w:numPr>
          <w:ilvl w:val="0"/>
          <w:numId w:val="1"/>
        </w:numPr>
        <w:ind w:left="240" w:hanging="142"/>
        <w:rPr>
          <w:rFonts w:cstheme="minorHAnsi"/>
          <w:bCs/>
          <w:iCs/>
          <w:color w:val="4472C4" w:themeColor="accent1"/>
        </w:rPr>
      </w:pPr>
      <w:r w:rsidRPr="00777FAA">
        <w:rPr>
          <w:rFonts w:cstheme="minorHAnsi"/>
          <w:bCs/>
          <w:iCs/>
        </w:rPr>
        <w:t>Doplnit specifikaci S (s ohledem na časové okno bude aktuální pouze pro význam pouze pro laboratoře lůžkových PZS s UP).</w:t>
      </w:r>
      <w:r w:rsidR="005F16F4" w:rsidRPr="00777FAA">
        <w:rPr>
          <w:rFonts w:cstheme="minorHAnsi"/>
          <w:bCs/>
          <w:iCs/>
        </w:rPr>
        <w:t xml:space="preserve"> </w:t>
      </w:r>
      <w:r w:rsidR="00777FAA" w:rsidRPr="00777FAA">
        <w:rPr>
          <w:rFonts w:cstheme="minorHAnsi"/>
          <w:bCs/>
          <w:iCs/>
          <w:color w:val="4472C4" w:themeColor="accent1"/>
        </w:rPr>
        <w:t>Zdravotnické zařízení</w:t>
      </w:r>
      <w:r w:rsidR="005F16F4" w:rsidRPr="00777FAA">
        <w:rPr>
          <w:rFonts w:cstheme="minorHAnsi"/>
          <w:bCs/>
          <w:iCs/>
          <w:color w:val="4472C4" w:themeColor="accent1"/>
        </w:rPr>
        <w:t xml:space="preserve"> s Pohotovostní službou, </w:t>
      </w:r>
      <w:r w:rsidR="00777FAA" w:rsidRPr="00777FAA">
        <w:rPr>
          <w:rFonts w:cstheme="minorHAnsi"/>
          <w:bCs/>
          <w:iCs/>
          <w:color w:val="4472C4" w:themeColor="accent1"/>
        </w:rPr>
        <w:t xml:space="preserve">nebo </w:t>
      </w:r>
      <w:r w:rsidR="005F16F4" w:rsidRPr="00777FAA">
        <w:rPr>
          <w:rFonts w:cstheme="minorHAnsi"/>
          <w:bCs/>
          <w:iCs/>
          <w:color w:val="4472C4" w:themeColor="accent1"/>
        </w:rPr>
        <w:t>Urgentním příjmem</w:t>
      </w:r>
    </w:p>
    <w:p w14:paraId="6886FB49" w14:textId="77777777" w:rsidR="00664B8F" w:rsidRPr="00777FAA" w:rsidRDefault="00664B8F" w:rsidP="00664B8F">
      <w:pPr>
        <w:pStyle w:val="Odstavecseseznamem"/>
        <w:numPr>
          <w:ilvl w:val="0"/>
          <w:numId w:val="1"/>
        </w:numPr>
        <w:spacing w:after="0" w:line="240" w:lineRule="auto"/>
        <w:ind w:left="240" w:hanging="142"/>
        <w:rPr>
          <w:rFonts w:cstheme="minorHAnsi"/>
          <w:bCs/>
          <w:iCs/>
        </w:rPr>
      </w:pPr>
      <w:r w:rsidRPr="00777FAA">
        <w:rPr>
          <w:rFonts w:cstheme="minorHAnsi"/>
        </w:rPr>
        <w:lastRenderedPageBreak/>
        <w:t xml:space="preserve">Nutno doložit ceny </w:t>
      </w:r>
      <w:proofErr w:type="spellStart"/>
      <w:proofErr w:type="gramStart"/>
      <w:r w:rsidRPr="00777FAA">
        <w:rPr>
          <w:rFonts w:cstheme="minorHAnsi"/>
        </w:rPr>
        <w:t>PMAt</w:t>
      </w:r>
      <w:proofErr w:type="spellEnd"/>
      <w:r w:rsidRPr="00777FAA">
        <w:rPr>
          <w:rFonts w:cstheme="minorHAnsi"/>
        </w:rPr>
        <w:t xml:space="preserve">  -</w:t>
      </w:r>
      <w:proofErr w:type="gramEnd"/>
      <w:r w:rsidRPr="00777FAA">
        <w:rPr>
          <w:rFonts w:cstheme="minorHAnsi"/>
        </w:rPr>
        <w:t xml:space="preserve"> příslušného </w:t>
      </w:r>
      <w:proofErr w:type="spellStart"/>
      <w:r w:rsidRPr="00777FAA">
        <w:rPr>
          <w:rFonts w:cstheme="minorHAnsi"/>
        </w:rPr>
        <w:t>kitu</w:t>
      </w:r>
      <w:proofErr w:type="spellEnd"/>
      <w:r w:rsidRPr="00777FAA">
        <w:rPr>
          <w:rFonts w:cstheme="minorHAnsi"/>
        </w:rPr>
        <w:t xml:space="preserve"> ke stanovení (např. faktura) a kalkulaci na jeden vzorek.</w:t>
      </w:r>
      <w:r w:rsidRPr="00777FAA">
        <w:rPr>
          <w:rFonts w:ascii="Calibri" w:eastAsia="Times New Roman" w:hAnsi="Calibri" w:cs="Calibri"/>
          <w:color w:val="FF0000"/>
          <w:lang w:eastAsia="cs-CZ"/>
        </w:rPr>
        <w:t xml:space="preserve"> Cenová nabídka byla poslána pro zařazení do číselníku spotřebního materiálu je tam cena za 1 vzorek s uvedením DPH </w:t>
      </w:r>
    </w:p>
    <w:p w14:paraId="1A09DAB6" w14:textId="77777777" w:rsidR="00B54F0D" w:rsidRPr="00777FAA" w:rsidRDefault="00664B8F" w:rsidP="00664B8F">
      <w:pPr>
        <w:pStyle w:val="Odstavecseseznamem"/>
        <w:numPr>
          <w:ilvl w:val="0"/>
          <w:numId w:val="1"/>
        </w:numPr>
        <w:autoSpaceDN w:val="0"/>
        <w:spacing w:after="0" w:line="240" w:lineRule="auto"/>
        <w:ind w:left="240" w:hanging="142"/>
        <w:contextualSpacing w:val="0"/>
        <w:jc w:val="both"/>
        <w:rPr>
          <w:rFonts w:cstheme="minorHAnsi"/>
          <w:iCs/>
          <w:color w:val="4472C4" w:themeColor="accent1"/>
        </w:rPr>
      </w:pPr>
      <w:r w:rsidRPr="00777FAA">
        <w:rPr>
          <w:rFonts w:cstheme="minorHAnsi"/>
          <w:bCs/>
          <w:iCs/>
        </w:rPr>
        <w:t xml:space="preserve">Upřesnit OF 1/den (vyšetřuje se sérum </w:t>
      </w:r>
      <w:r w:rsidRPr="00777FAA">
        <w:rPr>
          <w:rFonts w:cstheme="minorHAnsi"/>
          <w:bCs/>
          <w:iCs/>
          <w:u w:val="single"/>
        </w:rPr>
        <w:t>nebo</w:t>
      </w:r>
      <w:r w:rsidRPr="00777FAA">
        <w:rPr>
          <w:rFonts w:cstheme="minorHAnsi"/>
          <w:bCs/>
          <w:iCs/>
        </w:rPr>
        <w:t xml:space="preserve"> </w:t>
      </w:r>
      <w:proofErr w:type="gramStart"/>
      <w:r w:rsidRPr="00777FAA">
        <w:rPr>
          <w:rFonts w:cstheme="minorHAnsi"/>
          <w:bCs/>
          <w:iCs/>
        </w:rPr>
        <w:t>plazma</w:t>
      </w:r>
      <w:proofErr w:type="gramEnd"/>
      <w:r w:rsidRPr="00777FAA">
        <w:rPr>
          <w:rFonts w:cstheme="minorHAnsi"/>
          <w:bCs/>
          <w:iCs/>
        </w:rPr>
        <w:t xml:space="preserve"> resp. při stanovení v séru </w:t>
      </w:r>
      <w:r w:rsidRPr="00777FAA">
        <w:rPr>
          <w:rFonts w:cstheme="minorHAnsi"/>
          <w:bCs/>
          <w:iCs/>
          <w:color w:val="FF0000"/>
        </w:rPr>
        <w:t>má být uvedeno nebo v</w:t>
      </w:r>
      <w:r w:rsidRPr="00777FAA">
        <w:rPr>
          <w:rFonts w:cstheme="minorHAnsi"/>
          <w:bCs/>
          <w:iCs/>
        </w:rPr>
        <w:t xml:space="preserve"> </w:t>
      </w:r>
      <w:r w:rsidRPr="00777FAA">
        <w:rPr>
          <w:rFonts w:cstheme="minorHAnsi"/>
          <w:bCs/>
          <w:iCs/>
          <w:color w:val="FF0000"/>
        </w:rPr>
        <w:t>plazmě a vykazuje se 1x</w:t>
      </w:r>
      <w:r w:rsidRPr="00777FAA">
        <w:rPr>
          <w:rFonts w:cstheme="minorHAnsi"/>
          <w:bCs/>
          <w:iCs/>
        </w:rPr>
        <w:t xml:space="preserve"> se vykazuje 1x?) a nutno </w:t>
      </w:r>
      <w:r w:rsidRPr="00777FAA">
        <w:rPr>
          <w:rFonts w:cstheme="minorHAnsi"/>
          <w:iCs/>
        </w:rPr>
        <w:t>specifikovat frekvenci i v delším časovém intervalu.</w:t>
      </w:r>
    </w:p>
    <w:p w14:paraId="1D63049A" w14:textId="0CD31CF0" w:rsidR="00664B8F" w:rsidRPr="00777FAA" w:rsidRDefault="0094072B" w:rsidP="00B54F0D">
      <w:pPr>
        <w:pStyle w:val="Odstavecseseznamem"/>
        <w:autoSpaceDN w:val="0"/>
        <w:spacing w:after="0" w:line="240" w:lineRule="auto"/>
        <w:ind w:left="240"/>
        <w:contextualSpacing w:val="0"/>
        <w:jc w:val="both"/>
        <w:rPr>
          <w:rFonts w:cstheme="minorHAnsi"/>
          <w:iCs/>
          <w:color w:val="4472C4" w:themeColor="accent1"/>
        </w:rPr>
      </w:pPr>
      <w:r w:rsidRPr="00777FAA">
        <w:rPr>
          <w:rFonts w:cstheme="minorHAnsi"/>
          <w:iCs/>
        </w:rPr>
        <w:t xml:space="preserve"> </w:t>
      </w:r>
      <w:r w:rsidRPr="00777FAA">
        <w:rPr>
          <w:rFonts w:cstheme="minorHAnsi"/>
          <w:iCs/>
          <w:color w:val="4472C4" w:themeColor="accent1"/>
        </w:rPr>
        <w:t>Vyšetřuje se sérum nebo plazma, dle požadavků dané laboratoře, vykazuje se 1x</w:t>
      </w:r>
      <w:r w:rsidR="00B54F0D" w:rsidRPr="00777FAA">
        <w:rPr>
          <w:rFonts w:cstheme="minorHAnsi"/>
          <w:iCs/>
          <w:color w:val="4472C4" w:themeColor="accent1"/>
        </w:rPr>
        <w:t xml:space="preserve"> pacient</w:t>
      </w:r>
    </w:p>
    <w:p w14:paraId="49108C67" w14:textId="77777777" w:rsidR="00B54F0D" w:rsidRPr="00777FAA" w:rsidRDefault="00664B8F" w:rsidP="00664B8F">
      <w:pPr>
        <w:pStyle w:val="Odstavecseseznamem"/>
        <w:numPr>
          <w:ilvl w:val="0"/>
          <w:numId w:val="1"/>
        </w:numPr>
        <w:autoSpaceDN w:val="0"/>
        <w:spacing w:after="0" w:line="240" w:lineRule="auto"/>
        <w:ind w:left="240" w:hanging="142"/>
        <w:contextualSpacing w:val="0"/>
        <w:jc w:val="both"/>
      </w:pPr>
      <w:r w:rsidRPr="00777FAA">
        <w:rPr>
          <w:rFonts w:cstheme="minorHAnsi"/>
          <w:iCs/>
          <w:u w:val="single"/>
        </w:rPr>
        <w:t>V RL</w:t>
      </w:r>
      <w:r w:rsidRPr="00777FAA">
        <w:rPr>
          <w:rFonts w:cstheme="minorHAnsi"/>
          <w:iCs/>
        </w:rPr>
        <w:t xml:space="preserve"> není uveden způsob úhrady v dalších zemích (Německo? Použití ve 2 nemocnicích?)</w:t>
      </w:r>
      <w:r w:rsidRPr="00777FAA">
        <w:t xml:space="preserve"> </w:t>
      </w:r>
      <w:r w:rsidR="00300F38" w:rsidRPr="00777FAA">
        <w:rPr>
          <w:lang w:val="en-US"/>
        </w:rPr>
        <w:t xml:space="preserve"> </w:t>
      </w:r>
    </w:p>
    <w:p w14:paraId="7AB43CB1" w14:textId="1800B1F6" w:rsidR="00664B8F" w:rsidRPr="00777FAA" w:rsidRDefault="00B54F0D" w:rsidP="00B54F0D">
      <w:pPr>
        <w:spacing w:after="0" w:line="240" w:lineRule="auto"/>
        <w:rPr>
          <w:rFonts w:ascii="Calibri" w:eastAsia="Times New Roman" w:hAnsi="Calibri" w:cs="Calibri"/>
          <w:color w:val="4472C4" w:themeColor="accent1"/>
        </w:rPr>
      </w:pPr>
      <w:proofErr w:type="gramStart"/>
      <w:r w:rsidRPr="00777FAA">
        <w:rPr>
          <w:rFonts w:ascii="Calibri" w:eastAsia="Times New Roman" w:hAnsi="Calibri" w:cs="Calibri"/>
          <w:color w:val="4472C4" w:themeColor="accent1"/>
        </w:rPr>
        <w:t>Polsko,  Chorvatsko</w:t>
      </w:r>
      <w:proofErr w:type="gramEnd"/>
      <w:r w:rsidRPr="00777FAA">
        <w:rPr>
          <w:rFonts w:ascii="Calibri" w:eastAsia="Times New Roman" w:hAnsi="Calibri" w:cs="Calibri"/>
          <w:color w:val="4472C4" w:themeColor="accent1"/>
        </w:rPr>
        <w:t>, Izrael, Rumunsko, Turecko, Francie, Portugalsko, Španělsko, Itálie, Rakousko, Německo, Dánsko, Nizozemsko, Šv</w:t>
      </w:r>
      <w:r w:rsidR="000B38AF">
        <w:rPr>
          <w:rFonts w:ascii="Calibri" w:eastAsia="Times New Roman" w:hAnsi="Calibri" w:cs="Calibri"/>
          <w:color w:val="4472C4" w:themeColor="accent1"/>
        </w:rPr>
        <w:t>é</w:t>
      </w:r>
      <w:r w:rsidRPr="00777FAA">
        <w:rPr>
          <w:rFonts w:ascii="Calibri" w:eastAsia="Times New Roman" w:hAnsi="Calibri" w:cs="Calibri"/>
          <w:color w:val="4472C4" w:themeColor="accent1"/>
        </w:rPr>
        <w:t>dsko, Velká Británie</w:t>
      </w:r>
      <w:r w:rsidR="000B38AF">
        <w:rPr>
          <w:rFonts w:ascii="Calibri" w:eastAsia="Times New Roman" w:hAnsi="Calibri" w:cs="Calibri"/>
          <w:color w:val="4472C4" w:themeColor="accent1"/>
        </w:rPr>
        <w:t>.</w:t>
      </w:r>
    </w:p>
    <w:p w14:paraId="4CD55B6E" w14:textId="77777777" w:rsidR="00B54F0D" w:rsidRPr="00130AAC" w:rsidRDefault="00B54F0D" w:rsidP="00B54F0D">
      <w:pPr>
        <w:spacing w:after="0" w:line="240" w:lineRule="auto"/>
        <w:rPr>
          <w:sz w:val="20"/>
          <w:szCs w:val="20"/>
        </w:rPr>
      </w:pPr>
    </w:p>
    <w:p w14:paraId="2E765622" w14:textId="77777777" w:rsidR="00B54F0D" w:rsidRDefault="00664B8F" w:rsidP="00664B8F">
      <w:pPr>
        <w:rPr>
          <w:rFonts w:cstheme="minorHAnsi"/>
          <w:bCs/>
          <w:iCs/>
          <w:sz w:val="20"/>
          <w:szCs w:val="20"/>
        </w:rPr>
      </w:pPr>
      <w:r w:rsidRPr="00130AAC">
        <w:rPr>
          <w:rFonts w:cstheme="minorHAnsi"/>
          <w:iCs/>
          <w:sz w:val="20"/>
          <w:szCs w:val="20"/>
        </w:rPr>
        <w:t>Není uveden ekonomický dopad.</w:t>
      </w:r>
      <w:r w:rsidRPr="00130AAC">
        <w:rPr>
          <w:rFonts w:cstheme="minorHAnsi"/>
          <w:bCs/>
          <w:iCs/>
          <w:sz w:val="20"/>
          <w:szCs w:val="20"/>
        </w:rPr>
        <w:t xml:space="preserve"> Doplnit počet vyšetření /rok (pro odhad finančního dopadu) </w:t>
      </w:r>
      <w:r w:rsidRPr="00130AAC">
        <w:rPr>
          <w:rFonts w:cstheme="minorHAnsi"/>
          <w:bCs/>
          <w:iCs/>
          <w:sz w:val="20"/>
          <w:szCs w:val="20"/>
          <w:u w:val="single"/>
        </w:rPr>
        <w:t>do RL</w:t>
      </w:r>
      <w:r w:rsidRPr="00130AAC">
        <w:rPr>
          <w:rFonts w:cstheme="minorHAnsi"/>
          <w:bCs/>
          <w:iCs/>
          <w:sz w:val="20"/>
          <w:szCs w:val="20"/>
        </w:rPr>
        <w:t>. V Doporučení uvedeno 36 000 pac. ročně – tedy 36 000 vyš ročně?</w:t>
      </w:r>
    </w:p>
    <w:p w14:paraId="5A81FDA4" w14:textId="5EEC689E" w:rsidR="00540512" w:rsidRPr="00B54F0D" w:rsidRDefault="00B54F0D" w:rsidP="00664B8F">
      <w:pPr>
        <w:rPr>
          <w:rFonts w:cstheme="minorHAnsi"/>
          <w:bCs/>
          <w:iCs/>
          <w:color w:val="4472C4" w:themeColor="accent1"/>
          <w:sz w:val="20"/>
          <w:szCs w:val="20"/>
        </w:rPr>
      </w:pPr>
      <w:r>
        <w:rPr>
          <w:rFonts w:cstheme="minorHAnsi"/>
          <w:bCs/>
          <w:iCs/>
          <w:sz w:val="20"/>
          <w:szCs w:val="20"/>
        </w:rPr>
        <w:t xml:space="preserve"> </w:t>
      </w:r>
      <w:r w:rsidRPr="00B54F0D">
        <w:rPr>
          <w:rFonts w:cstheme="minorHAnsi"/>
          <w:bCs/>
          <w:iCs/>
          <w:color w:val="4472C4" w:themeColor="accent1"/>
          <w:sz w:val="20"/>
          <w:szCs w:val="20"/>
        </w:rPr>
        <w:t>A</w:t>
      </w:r>
      <w:r>
        <w:rPr>
          <w:rFonts w:cstheme="minorHAnsi"/>
          <w:bCs/>
          <w:iCs/>
          <w:color w:val="4472C4" w:themeColor="accent1"/>
          <w:sz w:val="20"/>
          <w:szCs w:val="20"/>
        </w:rPr>
        <w:t>n</w:t>
      </w:r>
      <w:r w:rsidRPr="00B54F0D">
        <w:rPr>
          <w:rFonts w:cstheme="minorHAnsi"/>
          <w:bCs/>
          <w:iCs/>
          <w:color w:val="4472C4" w:themeColor="accent1"/>
          <w:sz w:val="20"/>
          <w:szCs w:val="20"/>
        </w:rPr>
        <w:t>o</w:t>
      </w:r>
    </w:p>
    <w:p w14:paraId="6D366DB3" w14:textId="77777777" w:rsidR="00664B8F" w:rsidRPr="00130AAC" w:rsidRDefault="00664B8F" w:rsidP="00664B8F">
      <w:pPr>
        <w:rPr>
          <w:rFonts w:cstheme="minorHAnsi"/>
          <w:bCs/>
          <w:iCs/>
          <w:sz w:val="20"/>
          <w:szCs w:val="20"/>
        </w:rPr>
      </w:pPr>
    </w:p>
    <w:p w14:paraId="235EA1D2" w14:textId="77777777" w:rsidR="00664B8F" w:rsidRPr="00130AAC" w:rsidRDefault="00664B8F" w:rsidP="00664B8F">
      <w:pPr>
        <w:rPr>
          <w:rFonts w:cstheme="minorHAnsi"/>
          <w:bCs/>
          <w:iCs/>
          <w:sz w:val="20"/>
          <w:szCs w:val="20"/>
        </w:rPr>
      </w:pPr>
    </w:p>
    <w:p w14:paraId="4BEBFFEA" w14:textId="77777777" w:rsidR="00664B8F" w:rsidRPr="00130AAC" w:rsidRDefault="00664B8F" w:rsidP="00664B8F">
      <w:pPr>
        <w:rPr>
          <w:rFonts w:cstheme="minorHAnsi"/>
          <w:bCs/>
          <w:iCs/>
          <w:sz w:val="20"/>
          <w:szCs w:val="20"/>
        </w:rPr>
      </w:pPr>
    </w:p>
    <w:p w14:paraId="32582A07" w14:textId="77777777" w:rsidR="00664B8F" w:rsidRPr="00130AAC" w:rsidRDefault="00664B8F" w:rsidP="00664B8F">
      <w:pPr>
        <w:rPr>
          <w:rFonts w:cstheme="minorHAnsi"/>
          <w:bCs/>
          <w:iCs/>
          <w:sz w:val="20"/>
          <w:szCs w:val="20"/>
        </w:rPr>
      </w:pPr>
    </w:p>
    <w:p w14:paraId="71D7DCAB" w14:textId="3759FF50" w:rsidR="00664B8F" w:rsidRPr="00130AAC" w:rsidRDefault="009A6467" w:rsidP="00664B8F">
      <w:pPr>
        <w:rPr>
          <w:rFonts w:cstheme="minorHAnsi"/>
          <w:bCs/>
          <w:iCs/>
          <w:sz w:val="20"/>
          <w:szCs w:val="20"/>
        </w:rPr>
      </w:pPr>
      <w:r>
        <w:rPr>
          <w:rFonts w:cstheme="minorHAnsi"/>
          <w:bCs/>
          <w:iCs/>
          <w:sz w:val="20"/>
          <w:szCs w:val="20"/>
        </w:rPr>
        <w:t>Reference</w:t>
      </w:r>
    </w:p>
    <w:p w14:paraId="50BDDCA1" w14:textId="16508CE4" w:rsidR="00664B8F" w:rsidRDefault="00664B8F" w:rsidP="00664B8F">
      <w:pPr>
        <w:pStyle w:val="Odstavecseseznamem"/>
        <w:numPr>
          <w:ilvl w:val="0"/>
          <w:numId w:val="4"/>
        </w:numPr>
        <w:spacing w:after="0"/>
        <w:ind w:left="284" w:hanging="284"/>
      </w:pPr>
      <w:r w:rsidRPr="00664B8F">
        <w:t>Doporučení České společnosti úrazové chirurgie České lékařské společnosti Jana Evangelisty Purkyně</w:t>
      </w:r>
      <w:r>
        <w:t xml:space="preserve"> </w:t>
      </w:r>
      <w:r w:rsidRPr="00664B8F">
        <w:t xml:space="preserve">pro použití diagnostického testu </w:t>
      </w:r>
      <w:proofErr w:type="spellStart"/>
      <w:r w:rsidRPr="00664B8F">
        <w:t>Abbott</w:t>
      </w:r>
      <w:proofErr w:type="spellEnd"/>
      <w:r w:rsidRPr="00664B8F">
        <w:t xml:space="preserve"> </w:t>
      </w:r>
      <w:proofErr w:type="spellStart"/>
      <w:r w:rsidRPr="00664B8F">
        <w:t>mTBI</w:t>
      </w:r>
      <w:proofErr w:type="spellEnd"/>
      <w:r w:rsidRPr="00664B8F">
        <w:t xml:space="preserve"> pří diagnostice pacientů s kraniocerebrálním traumatem</w:t>
      </w:r>
      <w:r w:rsidR="005F16F4">
        <w:t>, schválené 4.10.2024 na zasedání výboru společnosti.</w:t>
      </w:r>
    </w:p>
    <w:p w14:paraId="10282C07" w14:textId="77777777" w:rsidR="00E6024D" w:rsidRDefault="00E6024D" w:rsidP="00E6024D">
      <w:pPr>
        <w:pStyle w:val="Default"/>
        <w:numPr>
          <w:ilvl w:val="0"/>
          <w:numId w:val="4"/>
        </w:numPr>
        <w:ind w:left="284" w:hanging="284"/>
        <w:rPr>
          <w:sz w:val="22"/>
          <w:szCs w:val="22"/>
        </w:rPr>
      </w:pPr>
      <w:proofErr w:type="spellStart"/>
      <w:r w:rsidRPr="00222810">
        <w:rPr>
          <w:sz w:val="22"/>
          <w:szCs w:val="22"/>
          <w:lang w:val="cs-CZ"/>
        </w:rPr>
        <w:t>Yue</w:t>
      </w:r>
      <w:proofErr w:type="spellEnd"/>
      <w:r w:rsidRPr="00222810">
        <w:rPr>
          <w:sz w:val="22"/>
          <w:szCs w:val="22"/>
          <w:lang w:val="cs-CZ"/>
        </w:rPr>
        <w:t xml:space="preserve"> JK, </w:t>
      </w:r>
      <w:proofErr w:type="spellStart"/>
      <w:r w:rsidRPr="00222810">
        <w:rPr>
          <w:sz w:val="22"/>
          <w:szCs w:val="22"/>
          <w:lang w:val="cs-CZ"/>
        </w:rPr>
        <w:t>Yuh</w:t>
      </w:r>
      <w:proofErr w:type="spellEnd"/>
      <w:r w:rsidRPr="00222810">
        <w:rPr>
          <w:sz w:val="22"/>
          <w:szCs w:val="22"/>
          <w:lang w:val="cs-CZ"/>
        </w:rPr>
        <w:t xml:space="preserve"> EL, </w:t>
      </w:r>
      <w:proofErr w:type="spellStart"/>
      <w:r w:rsidRPr="00222810">
        <w:rPr>
          <w:sz w:val="22"/>
          <w:szCs w:val="22"/>
          <w:lang w:val="cs-CZ"/>
        </w:rPr>
        <w:t>Korley</w:t>
      </w:r>
      <w:proofErr w:type="spellEnd"/>
      <w:r w:rsidRPr="00222810">
        <w:rPr>
          <w:sz w:val="22"/>
          <w:szCs w:val="22"/>
          <w:lang w:val="cs-CZ"/>
        </w:rPr>
        <w:t xml:space="preserve"> FK, et al. </w:t>
      </w:r>
      <w:r>
        <w:rPr>
          <w:sz w:val="22"/>
          <w:szCs w:val="22"/>
        </w:rPr>
        <w:t xml:space="preserve">Association Between GFAP Plasma Concentrations and </w:t>
      </w:r>
      <w:proofErr w:type="spellStart"/>
      <w:r>
        <w:rPr>
          <w:sz w:val="22"/>
          <w:szCs w:val="22"/>
        </w:rPr>
        <w:t>MRIAbnormalities</w:t>
      </w:r>
      <w:proofErr w:type="spellEnd"/>
      <w:r>
        <w:rPr>
          <w:sz w:val="22"/>
          <w:szCs w:val="22"/>
        </w:rPr>
        <w:t xml:space="preserve"> in Patients With CT-Negative Traumatic Brain Injury in the TRACK-TBI Cohort: </w:t>
      </w:r>
      <w:proofErr w:type="spellStart"/>
      <w:r>
        <w:rPr>
          <w:sz w:val="22"/>
          <w:szCs w:val="22"/>
        </w:rPr>
        <w:t>AProspective</w:t>
      </w:r>
      <w:proofErr w:type="spellEnd"/>
      <w:r>
        <w:rPr>
          <w:sz w:val="22"/>
          <w:szCs w:val="22"/>
        </w:rPr>
        <w:t xml:space="preserve"> Multicenter Study. </w:t>
      </w:r>
      <w:r>
        <w:rPr>
          <w:i/>
          <w:iCs/>
          <w:sz w:val="22"/>
          <w:szCs w:val="22"/>
        </w:rPr>
        <w:t>Lancet Neurol</w:t>
      </w:r>
      <w:r>
        <w:rPr>
          <w:sz w:val="22"/>
          <w:szCs w:val="22"/>
        </w:rPr>
        <w:t>. October 2019; 18(10</w:t>
      </w:r>
      <w:proofErr w:type="gramStart"/>
      <w:r>
        <w:rPr>
          <w:sz w:val="22"/>
          <w:szCs w:val="22"/>
        </w:rPr>
        <w:t>):953-961.doi</w:t>
      </w:r>
      <w:proofErr w:type="gramEnd"/>
      <w:r>
        <w:rPr>
          <w:sz w:val="22"/>
          <w:szCs w:val="22"/>
        </w:rPr>
        <w:t>:10.1016/s1474-4422(19)30282-0</w:t>
      </w:r>
    </w:p>
    <w:p w14:paraId="211A1CB0" w14:textId="77777777" w:rsidR="00E6024D" w:rsidRDefault="00E6024D" w:rsidP="00E6024D">
      <w:pPr>
        <w:pStyle w:val="Odstavecseseznamem"/>
        <w:spacing w:after="0"/>
        <w:ind w:left="284"/>
      </w:pPr>
    </w:p>
    <w:p w14:paraId="07A725D8" w14:textId="77777777" w:rsidR="00664B8F" w:rsidRPr="00664B8F" w:rsidRDefault="00664B8F" w:rsidP="005F16F4">
      <w:pPr>
        <w:pStyle w:val="Odstavecseseznamem"/>
        <w:spacing w:after="0"/>
        <w:ind w:left="284"/>
      </w:pPr>
    </w:p>
    <w:p w14:paraId="185E972D" w14:textId="10BD0E73" w:rsidR="00664B8F" w:rsidRDefault="00664B8F" w:rsidP="00664B8F"/>
    <w:sectPr w:rsidR="00664B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E48BB"/>
    <w:multiLevelType w:val="hybridMultilevel"/>
    <w:tmpl w:val="838297F2"/>
    <w:lvl w:ilvl="0" w:tplc="66A4F76C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60E90"/>
    <w:multiLevelType w:val="hybridMultilevel"/>
    <w:tmpl w:val="CE204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E921C"/>
    <w:multiLevelType w:val="hybridMultilevel"/>
    <w:tmpl w:val="26027D2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A0450BF"/>
    <w:multiLevelType w:val="hybridMultilevel"/>
    <w:tmpl w:val="32101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A668C"/>
    <w:multiLevelType w:val="hybridMultilevel"/>
    <w:tmpl w:val="742A13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1989621">
    <w:abstractNumId w:val="3"/>
  </w:num>
  <w:num w:numId="2" w16cid:durableId="1492596391">
    <w:abstractNumId w:val="2"/>
  </w:num>
  <w:num w:numId="3" w16cid:durableId="1355227756">
    <w:abstractNumId w:val="0"/>
  </w:num>
  <w:num w:numId="4" w16cid:durableId="880166144">
    <w:abstractNumId w:val="4"/>
  </w:num>
  <w:num w:numId="5" w16cid:durableId="6064707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B8F"/>
    <w:rsid w:val="000B38AF"/>
    <w:rsid w:val="00130AAC"/>
    <w:rsid w:val="00222810"/>
    <w:rsid w:val="00300F38"/>
    <w:rsid w:val="00540512"/>
    <w:rsid w:val="005F16F4"/>
    <w:rsid w:val="00664B8F"/>
    <w:rsid w:val="00777FAA"/>
    <w:rsid w:val="008114C0"/>
    <w:rsid w:val="0094072B"/>
    <w:rsid w:val="009A6467"/>
    <w:rsid w:val="00AB20B0"/>
    <w:rsid w:val="00B54F0D"/>
    <w:rsid w:val="00BC50AC"/>
    <w:rsid w:val="00C35FBD"/>
    <w:rsid w:val="00D204A8"/>
    <w:rsid w:val="00E6024D"/>
    <w:rsid w:val="00EE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BC186"/>
  <w15:chartTrackingRefBased/>
  <w15:docId w15:val="{21AE2957-FD7F-41EE-80AF-1F3CF8385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4B8F"/>
    <w:rPr>
      <w:kern w:val="0"/>
      <w:lang w:val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664B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664B8F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Odstavec cíl se seznamem Char,Odstavec se seznamem5 Char,Odrážky Char,Odstavec_muj1 Char,Odstavec_muj2 Char,Odstavec_muj3 Char,Nad1 Char,List Paragraph1 Char,Odstavec_muj4 Char,Nad2 Char,Tučné Char"/>
    <w:basedOn w:val="Standardnpsmoodstavce"/>
    <w:link w:val="Odstavecseseznamem"/>
    <w:uiPriority w:val="34"/>
    <w:locked/>
    <w:rsid w:val="00664B8F"/>
    <w:rPr>
      <w:kern w:val="0"/>
      <w:lang w:val="cs-CZ"/>
      <w14:ligatures w14:val="none"/>
    </w:rPr>
  </w:style>
  <w:style w:type="paragraph" w:customStyle="1" w:styleId="Default">
    <w:name w:val="Default"/>
    <w:rsid w:val="00664B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664B8F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1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588</Words>
  <Characters>3473</Characters>
  <Application>Microsoft Office Word</Application>
  <DocSecurity>4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Pruner-Zieglerova, Dana</dc:creator>
  <cp:keywords/>
  <dc:description/>
  <cp:lastModifiedBy>Springer Drahomíra, doc. Ing. Ph.D.</cp:lastModifiedBy>
  <cp:revision>2</cp:revision>
  <cp:lastPrinted>2025-01-31T11:03:00Z</cp:lastPrinted>
  <dcterms:created xsi:type="dcterms:W3CDTF">2025-01-31T13:01:00Z</dcterms:created>
  <dcterms:modified xsi:type="dcterms:W3CDTF">2025-01-31T13:01:00Z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2025-01-31T13:01:12Z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e63789b3-296c-4550-92da-1f2415ec4630</vt:lpwstr>
  </property>
  <property fmtid="{D5CDD505-2E9C-101B-9397-08002B2CF9AE}" pid="8" name="MSIP_Label_2063cd7f-2d21-486a-9f29-9c1683fdd175_ContentBits">
    <vt:lpwstr>0</vt:lpwstr>
  </property>
</Properties>
</file>