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Mkatabulky"/>
        <w:tblW w:w="1388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92"/>
        <w:gridCol w:w="5437"/>
        <w:gridCol w:w="5158"/>
      </w:tblGrid>
      <w:tr>
        <w:trPr>
          <w:trHeight w:val="1023" w:hRule="atLeast"/>
        </w:trPr>
        <w:tc>
          <w:tcPr>
            <w:tcW w:w="32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both"/>
              <w:rPr>
                <w:rFonts w:cs="Arial"/>
              </w:rPr>
            </w:pPr>
            <w:r>
              <w:rPr>
                <w:rFonts w:eastAsia="Calibri" w:cs="Arial"/>
                <w:b/>
                <w:kern w:val="0"/>
                <w:sz w:val="22"/>
                <w:szCs w:val="22"/>
                <w:lang w:val="cs-CZ" w:eastAsia="en-US" w:bidi="ar-SA"/>
              </w:rPr>
              <w:t>36055 PŘÍPRAVA A PŘEDÁNÍ PAC. Z PÉČE DĚTSKÉHO PSYCHIATRA DO PÉČE PSYCHIATRA PRO DOSPĚLÉ</w:t>
            </w: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 xml:space="preserve"> – nový výkon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</w:r>
          </w:p>
        </w:tc>
        <w:tc>
          <w:tcPr>
            <w:tcW w:w="5437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b/>
                <w:kern w:val="0"/>
                <w:sz w:val="22"/>
                <w:szCs w:val="22"/>
                <w:lang w:val="cs-CZ" w:eastAsia="en-US" w:bidi="ar-SA"/>
              </w:rPr>
              <w:t>Připomínky</w:t>
            </w: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 xml:space="preserve">: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 xml:space="preserve">Předávání dětského pacienta do péče odborníka pro dospělé probíhá ve všech odbornostech napříč SZV.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>POKUD je v indikovaných případech nutná edukace nad rámec klinických vyšetření, je možno využít stávajícího mezioborového výkonu.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 xml:space="preserve">Rozsah této přípravy se zdá být nadhodnocen – navržený čas výkonu 30 min., frekvenční omezení 2/1 den, bez dalšího vymezení v delším časovém intervalu.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>Diskuse o potřebě výkonu tohoto typu nutná.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515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Vypořádání</w:t>
            </w:r>
            <w:r>
              <w:rPr>
                <w:rFonts w:cs="Arial"/>
              </w:rPr>
              <w:t>:</w:t>
            </w:r>
          </w:p>
          <w:p>
            <w:pPr>
              <w:pStyle w:val="Normal"/>
              <w:widowControl w:val="false"/>
              <w:ind w:hanging="0"/>
              <w:jc w:val="both"/>
              <w:rPr/>
            </w:pPr>
            <w:r>
              <w:rPr/>
              <w:t xml:space="preserve">Tento výkon by </w:t>
            </w:r>
            <w:r>
              <w:rPr>
                <w:b/>
                <w:bCs/>
              </w:rPr>
              <w:t>usnadnil psychiatrovi pro dospělé péči o náročnější pacienty</w:t>
            </w:r>
            <w:r>
              <w:rPr/>
              <w:t xml:space="preserve">, které přijmou do své péči od dětského psychiatra. Kromě podrobné výstupní zprávy, obsahující vývojové aspekty a vliv rodinného prostředí na formování osobnosti, farmakologické anamnézy, bude také provedena na základě znalosti duševního stavu pacienta a profesní zkušenosti pedopsychiatra rozvaha a doporučení. Např.  již vypracování žádosti o invalidizaci z mládí, posouzení aktuální schopnosti pro získání řidičského oprávnění, ev. návrh na omezení svéprávnosti. Kromě uvedeného by závažněji nemocného pacienta i jeho rodiče postupně připravil na změnu péče, pomohl sehnat psychiatra pro dospělé a psychologickou péči, aby nedošlo k tomu, </w:t>
            </w:r>
            <w:r>
              <w:rPr>
                <w:b/>
                <w:bCs/>
              </w:rPr>
              <w:t>že bude pacient bez psychiatrické léčby.</w:t>
            </w:r>
          </w:p>
          <w:p>
            <w:pPr>
              <w:pStyle w:val="Normal"/>
              <w:widowControl w:val="false"/>
              <w:ind w:hanging="0"/>
              <w:jc w:val="both"/>
              <w:rPr/>
            </w:pPr>
            <w:r>
              <w:rPr>
                <w:b/>
                <w:bCs/>
              </w:rPr>
              <w:t xml:space="preserve">Velkou část této práce připravuje pedopsychiatr mimo čas, který tráví s pacientem a jeho rodinou </w:t>
            </w:r>
            <w:r>
              <w:rPr/>
              <w:t>v ordinaci, v ordinaci již pouze edukuje, vysvětluje, ev. provádí nácvik samostatného chování.</w:t>
            </w:r>
          </w:p>
          <w:p>
            <w:pPr>
              <w:pStyle w:val="Normal"/>
              <w:widowControl w:val="false"/>
              <w:ind w:hanging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Tento výkon lze užít 2x za 1 den, maximálně 4x za rok, </w:t>
            </w:r>
            <w:r>
              <w:rPr>
                <w:b/>
                <w:bCs/>
                <w:sz w:val="22"/>
                <w:szCs w:val="22"/>
              </w:rPr>
              <w:t>d</w:t>
            </w:r>
            <w:r>
              <w:rPr>
                <w:b/>
                <w:bCs/>
                <w:sz w:val="22"/>
                <w:szCs w:val="22"/>
              </w:rPr>
              <w:t xml:space="preserve">oplnili jsme do RL </w:t>
            </w:r>
            <w:r>
              <w:rPr>
                <w:b/>
                <w:bCs/>
              </w:rPr>
              <w:t>(bude uveden spolu s klinickým vyšetřením nebo i samostatně, pokud toto vše lékař zajišťuje bez přítomnosti pacienta). Nejedná se tedy o finanční zátěž pro ZP!</w:t>
            </w:r>
          </w:p>
          <w:p>
            <w:pPr>
              <w:pStyle w:val="Normal"/>
              <w:widowControl w:val="false"/>
              <w:ind w:hanging="0"/>
              <w:jc w:val="both"/>
              <w:rPr/>
            </w:pPr>
            <w:r>
              <w:rPr/>
              <w:t xml:space="preserve">Výbor Sekce dětské a dorostové psychiatrie   Psychiatrické společnosti ČLPS JEP připravil po dohodě s Psychiatrickou společností ČLPS JEP  podrobné doporučené postupy, i proto aby vyšel vstříc ambulantním psychiatrům pro dospělé a usnadnil jim tímto péči o závažnější pacienty. </w:t>
            </w:r>
            <w:r>
              <w:rPr>
                <w:b/>
                <w:bCs/>
              </w:rPr>
              <w:t>Potřeba tohoto výkonu tedy byla diskutována i v rámci celé Psychiatrické společnosti ČPS JEP.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Tento výkon byl předkládán již v roce 2023 a </w:t>
            </w:r>
            <w:r>
              <w:rPr>
                <w:rFonts w:eastAsia="Calibri" w:cs="Arial" w:eastAsiaTheme="minorHAnsi"/>
                <w:color w:val="auto"/>
                <w:kern w:val="0"/>
                <w:sz w:val="22"/>
                <w:szCs w:val="22"/>
                <w:lang w:val="cs-CZ" w:eastAsia="en-US" w:bidi="ar-SA"/>
              </w:rPr>
              <w:t>tehdy</w:t>
            </w:r>
            <w:r>
              <w:rPr>
                <w:rFonts w:cs="Arial"/>
              </w:rPr>
              <w:t xml:space="preserve"> pro jeho schválení bylo potřebné doložit doporučené postupy (tato podmínka je nyní již splněna).</w:t>
            </w:r>
          </w:p>
        </w:tc>
      </w:tr>
      <w:tr>
        <w:trPr>
          <w:trHeight w:val="1023" w:hRule="atLeast"/>
        </w:trPr>
        <w:tc>
          <w:tcPr>
            <w:tcW w:w="32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eastAsia="Calibri" w:cs="Arial"/>
                <w:b/>
                <w:kern w:val="0"/>
                <w:sz w:val="22"/>
                <w:szCs w:val="22"/>
                <w:lang w:val="cs-CZ" w:eastAsia="en-US" w:bidi="ar-SA"/>
              </w:rPr>
              <w:t xml:space="preserve">36070 VÍCERODINNÁ TERAPIE </w:t>
            </w: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>– nový výkon</w:t>
            </w:r>
            <w:r>
              <w:rPr>
                <w:rFonts w:eastAsia="Calibri" w:cs="Arial"/>
                <w:b/>
                <w:kern w:val="0"/>
                <w:sz w:val="22"/>
                <w:szCs w:val="22"/>
                <w:lang w:val="cs-CZ"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</w:r>
          </w:p>
        </w:tc>
        <w:tc>
          <w:tcPr>
            <w:tcW w:w="5437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b/>
                <w:kern w:val="0"/>
                <w:sz w:val="22"/>
                <w:szCs w:val="22"/>
                <w:lang w:val="cs-CZ" w:eastAsia="en-US" w:bidi="ar-SA"/>
              </w:rPr>
              <w:t>Připomínky</w:t>
            </w: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>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 xml:space="preserve">V popisu výkonu by měly být uvedeny indikace – z kontextu vyplývá, že výkon je určen pro pacienty s poruchou příjmu potravy.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>Konstrukce výkonu – diskuse nutná. Proč nelze využít stávající výkony v SZV (skupinová terapie)?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>Jaký je čas nositele L3?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 xml:space="preserve">Je správně navržena sdílená odbornost klinická psychologie? Pokud ano, pak kalkulace by měla být nastavena na klinického psychologa, nikoli lékaře. 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 xml:space="preserve">Žádáme o objasnění – v registračním listu je uvedena možnost „zároveň s možností konzultace stavu s dalšími odborníky – pediatr, nutriční terapeut, dětský gynekolog“… tito jsou rovněž nositeli?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>V popisu výkonu by také mělo být ukotveno, kdy tento typ terapie ukončit (pro neúčinnost, nebo naopak pro příznivý efekt).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515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Vypořádání</w:t>
            </w:r>
            <w:r>
              <w:rPr>
                <w:rFonts w:cs="Arial"/>
              </w:rPr>
              <w:t>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 xml:space="preserve">Konkrétně se jedná o dg. </w:t>
            </w:r>
            <w:r>
              <w:rPr>
                <w:rFonts w:cs="Arial"/>
                <w:sz w:val="22"/>
                <w:szCs w:val="22"/>
              </w:rPr>
              <w:t>F500, F501, F502, F503, F508 a F509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cs-CZ"/>
              </w:rPr>
              <w:t xml:space="preserve">Jedná se o </w:t>
            </w: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val="cs-CZ" w:eastAsia="cs-CZ" w:bidi="ar-SA"/>
              </w:rPr>
              <w:t>vysoce specializovanou</w:t>
            </w: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cs-CZ"/>
              </w:rPr>
              <w:t xml:space="preserve"> formu psychoterapie, které se účastní až 3 terapeuti po dobu až šesti hodin denně. Za další lze terapeutické výkony vykazovat pouze lékařem s atestací z psychoterapie, kterou nyní není možné </w:t>
            </w: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val="cs-CZ" w:eastAsia="cs-CZ" w:bidi="ar-SA"/>
              </w:rPr>
              <w:t>získat</w:t>
            </w: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cs-CZ"/>
              </w:rPr>
              <w:t xml:space="preserve"> a psycholog s psychoterapeutickou atestací. To významně zužuje množství nositelů výkonu. Je potřeba aby výkon rodinné terapie mohli vykazovat lékaři a psychologové proškoleni v rodinné terapii poruch příjmu potravy.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eastAsia="Times New Roman" w:cs="Calibri"/>
                <w:b w:val="false"/>
                <w:b w:val="false"/>
                <w:bCs w:val="false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cs-CZ"/>
              </w:rPr>
              <w:t>Čas nositele L3 je 30 minut, doplnili jsme do RL.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cs-CZ"/>
              </w:rPr>
              <w:t xml:space="preserve">Je </w:t>
            </w: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val="cs-CZ" w:eastAsia="cs-CZ" w:bidi="ar-SA"/>
              </w:rPr>
              <w:t>zapotřebí sdílet výkon pro</w:t>
            </w: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cs-CZ"/>
              </w:rPr>
              <w:t xml:space="preserve"> obě odbornosti vzhledem k tomu, že se mohou lišit pracoviště, kde bude vyškolen lékař, kde psycholog a kde obě odbornosti.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rFonts w:ascii="Calibri" w:hAnsi="Calibri" w:eastAsia="Times New Roman" w:cs="Calibri"/>
                <w:b w:val="false"/>
                <w:b w:val="false"/>
                <w:bCs w:val="false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cs-CZ"/>
              </w:rPr>
              <w:t>Odborníci budou oslovováni pouze na konzultace, buď v rámci jednoho zařízení nebo externě, bez dalšího kódování. Tato pasáž však v RL nemusí být uvedena.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rFonts w:ascii="Calibri" w:hAnsi="Calibri" w:eastAsia="Times New Roman" w:cs="Calibri"/>
                <w:b w:val="false"/>
                <w:b w:val="false"/>
                <w:bCs w:val="false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cs-CZ"/>
              </w:rPr>
              <w:t>Jedná se o terapii s jasně danou strukturou, začátkem a ukončením. Počet sezení je již dopředu určen. Neplánované ukončení může nastat pro zhoršení stavu vedoucího k hospitalizaci, případně pro nespolupráci.</w:t>
            </w:r>
          </w:p>
        </w:tc>
      </w:tr>
      <w:tr>
        <w:trPr>
          <w:trHeight w:val="1023" w:hRule="atLeast"/>
        </w:trPr>
        <w:tc>
          <w:tcPr>
            <w:tcW w:w="32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eastAsia="Calibri" w:cs="Arial"/>
                <w:b/>
                <w:kern w:val="0"/>
                <w:sz w:val="22"/>
                <w:szCs w:val="22"/>
                <w:lang w:val="cs-CZ" w:eastAsia="en-US" w:bidi="ar-SA"/>
              </w:rPr>
              <w:t xml:space="preserve">36048 ŠKÁLOVÁNÍ V DĚTSKÉ A DOROSTOVÉ PSYCHIATRII – </w:t>
            </w: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>návrh na změnu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</w:r>
          </w:p>
        </w:tc>
        <w:tc>
          <w:tcPr>
            <w:tcW w:w="5437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Arial"/>
                <w:b/>
                <w:b/>
              </w:rPr>
            </w:pPr>
            <w:r>
              <w:rPr>
                <w:rFonts w:eastAsia="Calibri" w:cs="Arial"/>
                <w:b/>
                <w:kern w:val="0"/>
                <w:sz w:val="22"/>
                <w:szCs w:val="22"/>
                <w:lang w:val="cs-CZ" w:eastAsia="en-US" w:bidi="ar-SA"/>
              </w:rPr>
              <w:t xml:space="preserve">Připomínky: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 xml:space="preserve">Žádáme o podrobnější zdůvodnění navýšení frekvence z 3/1 den, 6/1 rok na 5/1 den, 20/1 rok. V žádosti je uvedeno „zkvalitnění diagnostiky“, nicméně domníváme se, že zkvalitnění diagnostiky nespočívá v častější realizaci škálování, nové škály ale nepřibyly. Diskuse nutná.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515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>Vypořádání</w:t>
            </w:r>
            <w:r>
              <w:rPr>
                <w:rFonts w:cs="Arial"/>
                <w:b w:val="false"/>
                <w:bCs w:val="false"/>
              </w:rPr>
              <w:t>: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b/>
                <w:color w:val="000000"/>
                <w:sz w:val="22"/>
                <w:szCs w:val="22"/>
              </w:rPr>
              <w:t xml:space="preserve">Spektrum škál pro dětskou psychiatrii se </w:t>
            </w: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cs-CZ" w:eastAsia="en-US" w:bidi="ar-SA"/>
              </w:rPr>
              <w:t>rozšiřuje</w:t>
            </w:r>
            <w:r>
              <w:rPr>
                <w:color w:val="000000"/>
                <w:sz w:val="22"/>
                <w:szCs w:val="22"/>
              </w:rPr>
              <w:t>. U nových časově náročných škál došlo nově k vyškolení pedopsychiatrů a ti je mohou nově využívat v klinické praxi za předpokladu, že čas strávený škálováním je bodově ohodnocený.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b/>
                <w:color w:val="000000"/>
                <w:sz w:val="22"/>
                <w:szCs w:val="22"/>
              </w:rPr>
              <w:t>Zvýšená frekvence celkově negeneruje více času na ošetření ambulantních pacientů</w:t>
            </w:r>
            <w:r>
              <w:rPr>
                <w:color w:val="000000"/>
                <w:sz w:val="22"/>
                <w:szCs w:val="22"/>
              </w:rPr>
              <w:t xml:space="preserve"> (protože pedopsychiatr neužívá škálování plošně u všech pacientů), ale </w:t>
            </w:r>
            <w:r>
              <w:rPr>
                <w:b/>
                <w:color w:val="000000"/>
                <w:sz w:val="22"/>
                <w:szCs w:val="22"/>
              </w:rPr>
              <w:t>umožňuje u složitého pacienta pečlivější vyšetření s využitím více dostupných škál.</w:t>
            </w:r>
            <w:r>
              <w:rPr>
                <w:color w:val="000000"/>
                <w:sz w:val="22"/>
                <w:szCs w:val="22"/>
              </w:rPr>
              <w:t xml:space="preserve"> Využití specializovaných škál pak </w:t>
            </w:r>
            <w:r>
              <w:rPr>
                <w:b/>
                <w:color w:val="000000"/>
                <w:sz w:val="22"/>
                <w:szCs w:val="22"/>
              </w:rPr>
              <w:t xml:space="preserve">zkracuje celkovou dobu intenzivní ambulantní péče u jednoho pacienta, </w:t>
            </w:r>
            <w:r>
              <w:rPr>
                <w:color w:val="000000"/>
                <w:sz w:val="22"/>
                <w:szCs w:val="22"/>
              </w:rPr>
              <w:t xml:space="preserve">protože dobrá diagnostika umožňuje rychlé zacílení léčby a tím kratší dobu na intenzivní sledování dítěte např. po týdnu se zkoušením různých psychofarmak. Výběr psychofarmak se přímo odvozuje od informací získaných škálováním. </w:t>
            </w:r>
            <w:r>
              <w:rPr>
                <w:b/>
                <w:color w:val="000000"/>
                <w:sz w:val="22"/>
                <w:szCs w:val="22"/>
              </w:rPr>
              <w:t xml:space="preserve">Pomocí škálování navíc může průběžně pedopsychiatr hodnotit </w:t>
            </w:r>
            <w:r>
              <w:rPr>
                <w:color w:val="000000"/>
                <w:sz w:val="22"/>
                <w:szCs w:val="22"/>
              </w:rPr>
              <w:t>např. míru deprese, trvá-li ještě vysoké sebevražedné rizik atd.</w:t>
            </w:r>
            <w:bookmarkStart w:id="0" w:name="_GoBack"/>
            <w:r>
              <w:rPr>
                <w:b/>
                <w:color w:val="000000"/>
                <w:sz w:val="22"/>
                <w:szCs w:val="22"/>
              </w:rPr>
              <w:t xml:space="preserve"> a tím mít přehled o efektivitě zavedené léčby</w:t>
            </w:r>
            <w:bookmarkEnd w:id="0"/>
            <w:r>
              <w:rPr>
                <w:color w:val="000000"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b/>
                <w:color w:val="000000"/>
                <w:sz w:val="22"/>
                <w:szCs w:val="22"/>
              </w:rPr>
              <w:t>Navýšení frekvence škálování</w:t>
            </w:r>
            <w:r>
              <w:rPr>
                <w:color w:val="000000"/>
                <w:sz w:val="22"/>
                <w:szCs w:val="22"/>
              </w:rPr>
              <w:t xml:space="preserve"> za rok u jednoho pacienta tak </w:t>
            </w:r>
            <w:r>
              <w:rPr>
                <w:b/>
                <w:color w:val="000000"/>
                <w:sz w:val="22"/>
                <w:szCs w:val="22"/>
              </w:rPr>
              <w:t>umožňuje lepší diferenciaci péče a její větší specifikaci</w:t>
            </w:r>
            <w:r>
              <w:rPr>
                <w:color w:val="000000"/>
                <w:sz w:val="22"/>
                <w:szCs w:val="22"/>
              </w:rPr>
              <w:t>, čímž se časová dotace na pacienta využije individuálně, zatímco u jiného diagnosticky jasného pacienta se škálování nevyužije, protože ho není třeba a pedopsychiatr nemá důvod ke složité dif. dg. rozvaze.</w:t>
            </w:r>
          </w:p>
          <w:p>
            <w:pPr>
              <w:pStyle w:val="Normal"/>
              <w:widowControl w:val="false"/>
              <w:spacing w:before="0" w:after="200"/>
              <w:jc w:val="both"/>
              <w:rPr/>
            </w:pPr>
            <w:r>
              <w:rPr>
                <w:b/>
                <w:color w:val="000000"/>
                <w:sz w:val="22"/>
                <w:szCs w:val="22"/>
              </w:rPr>
              <w:t>Dříve významně pomáhala s dif. diagnostikou</w:t>
            </w:r>
            <w:r>
              <w:rPr>
                <w:color w:val="000000"/>
                <w:sz w:val="22"/>
                <w:szCs w:val="22"/>
              </w:rPr>
              <w:t xml:space="preserve"> ambulantním pedopsychiatrům </w:t>
            </w:r>
            <w:r>
              <w:rPr>
                <w:b/>
                <w:color w:val="000000"/>
                <w:sz w:val="22"/>
                <w:szCs w:val="22"/>
              </w:rPr>
              <w:t>pedopsychiatrická hospitalizace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b/>
                <w:color w:val="000000"/>
                <w:sz w:val="22"/>
                <w:szCs w:val="22"/>
              </w:rPr>
              <w:t>Tento nástroj je nyní pro ambulantního pedopsychiatra téměř nedostupný</w:t>
            </w:r>
            <w:r>
              <w:rPr>
                <w:color w:val="000000"/>
                <w:sz w:val="22"/>
                <w:szCs w:val="22"/>
              </w:rPr>
              <w:t xml:space="preserve">.  </w:t>
            </w:r>
            <w:r>
              <w:rPr>
                <w:b/>
                <w:color w:val="000000"/>
                <w:sz w:val="22"/>
                <w:szCs w:val="22"/>
              </w:rPr>
              <w:t xml:space="preserve">U složitých pacientů imponujících např. jako poruchy chování se suspekcí na autistickou poruchu se hospitalizace nelze i několik měsíců dobrat </w:t>
            </w:r>
            <w:r>
              <w:rPr>
                <w:color w:val="000000"/>
                <w:sz w:val="22"/>
                <w:szCs w:val="22"/>
              </w:rPr>
              <w:t xml:space="preserve">a pedopsychiatr je nucen tyto pacienty zvýšeně sledovat i po týdnu, čímž se mu zabírají kapacity pro nové ambulantní pacienty. </w:t>
            </w:r>
            <w:r>
              <w:rPr>
                <w:b/>
                <w:color w:val="000000"/>
                <w:sz w:val="22"/>
                <w:szCs w:val="22"/>
              </w:rPr>
              <w:t>Pedopsychiatr by měl by tedy mít k dispozici účinný nástroj, jak tyto pacienty diagnostikovat pomocí škálování, zefektivnit tím diferenciálně diagnostickou rozvahu a efektivněji léčit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>
        <w:trPr>
          <w:trHeight w:val="1023" w:hRule="atLeast"/>
        </w:trPr>
        <w:tc>
          <w:tcPr>
            <w:tcW w:w="32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eastAsia="Calibri" w:cs="Arial"/>
                <w:b/>
                <w:kern w:val="0"/>
                <w:sz w:val="22"/>
                <w:szCs w:val="22"/>
                <w:lang w:val="cs-CZ" w:eastAsia="en-US" w:bidi="ar-SA"/>
              </w:rPr>
              <w:t xml:space="preserve">36073 DISTANČNÍ KONTAKT V PEDOPSYCHIATRII – </w:t>
            </w: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>návrh na změnu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both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</w:r>
          </w:p>
        </w:tc>
        <w:tc>
          <w:tcPr>
            <w:tcW w:w="5437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b/>
                <w:kern w:val="0"/>
                <w:sz w:val="22"/>
                <w:szCs w:val="22"/>
                <w:lang w:val="cs-CZ" w:eastAsia="en-US" w:bidi="ar-SA"/>
              </w:rPr>
              <w:t>Připomínky</w:t>
            </w: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>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 xml:space="preserve">Navýšení frekvence z 4/1 den, 12/1 rok na 30/1 rok není konkrétně zdůvodněno – v žádosti je uvedeno pouze za účelem možnosti rozšíření.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 xml:space="preserve">Konzultace mezi PZS nemůže být součástí indikací tohoto výkonu. Principem distanční péče o pacienta je distanční zhodnocení náhlého zhoršení zdravotního stavu pacienta. Byl podpořen z důvodu podpoření dostupnosti péče v odbornosti dětské psychiatrie.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 xml:space="preserve">S rozšířením tohoto typu nesouhlasíme, byl by to i precedens pro další odbornosti.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cs-CZ" w:eastAsia="en-US" w:bidi="ar-SA"/>
              </w:rPr>
              <w:t xml:space="preserve">Konzultace mezi PZS je součástí běžné péče o pacienty v rámci režijních nákladů. 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515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Vypořádání</w:t>
            </w:r>
            <w:r>
              <w:rPr>
                <w:rFonts w:cs="Arial"/>
              </w:rPr>
              <w:t>: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Telemedicina se rozvíjí a výkon Distanční kontakt za použití videokamery </w:t>
            </w:r>
            <w:r>
              <w:rPr>
                <w:b/>
                <w:bCs/>
              </w:rPr>
              <w:t>je při využívání lékařem mezi pacienty a jejich rodiči  velmi žádaný a splňuje i charakter akutní péče,</w:t>
            </w:r>
            <w:r>
              <w:rPr/>
              <w:t xml:space="preserve"> protože lékař si ve svém kalendáři rezervuje časy právě pro tyto akutní stavy. Pro ZP se jedná o úsporné opatření (menší potřeba vyšetření na emergency, včasný zásah a tím i snížení potřeby hospitalizace).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Výbor Sekce dětské a dorostové psychiatrie vydal doporučené postupy Telemedicína v pedopsychiatrii, jejichž součástí je i mezioborová konzultace (např. poradenství pro pediatry). Toto byl důvod rozšíření frekvence užití daného výkonu až na 30/1 rok. I p</w:t>
            </w:r>
            <w:r>
              <w:rPr>
                <w:b/>
                <w:bCs/>
              </w:rPr>
              <w:t>okud  nebude akceptován tento výkon ke komunikaci lékařů o společném pacientovi, bude přesto potřeba rozšířit výkon ze stávajících 12x za 1 rok  alespoň na 20/1 rok.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Dále navrhujeme bonifikace pro lékaře, kteří tuto akutní péči poskytují (navýšení hodnoty bodu o 0,06 Kč)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1418" w:gutter="0" w:header="709" w:top="1418" w:footer="709" w:bottom="1418"/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2010821000"/>
    </w:sdtPr>
    <w:sdtContent>
      <w:p>
        <w:pPr>
          <w:pStyle w:val="Zpat"/>
          <w:rPr>
            <w:sz w:val="24"/>
            <w:szCs w:val="24"/>
          </w:rPr>
        </w:pPr>
        <w:r>
          <w:rPr/>
          <w:tab/>
          <w:tab/>
          <w:tab/>
          <w:tab/>
          <w:tab/>
          <w:tab/>
          <w:tab/>
        </w:r>
        <w:r>
          <w:rPr>
            <w:sz w:val="24"/>
            <w:szCs w:val="24"/>
          </w:rPr>
          <w:t xml:space="preserve">Stránka </w:t>
        </w:r>
        <w:r>
          <w:rPr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</w:rPr>
          <w:instrText> PAGE </w:instrText>
        </w:r>
        <w:r>
          <w:rPr>
            <w:sz w:val="24"/>
            <w:szCs w:val="24"/>
            <w:bCs/>
          </w:rPr>
          <w:fldChar w:fldCharType="separate"/>
        </w:r>
        <w:r>
          <w:rPr>
            <w:sz w:val="24"/>
            <w:szCs w:val="24"/>
            <w:bCs/>
          </w:rPr>
          <w:t>5</w:t>
        </w:r>
        <w:r>
          <w:rPr>
            <w:sz w:val="24"/>
            <w:szCs w:val="24"/>
            <w:bCs/>
          </w:rPr>
          <w:fldChar w:fldCharType="end"/>
        </w:r>
        <w:r>
          <w:rPr>
            <w:sz w:val="24"/>
            <w:szCs w:val="24"/>
          </w:rPr>
          <w:t xml:space="preserve"> z </w:t>
        </w:r>
        <w:r>
          <w:rPr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</w:rPr>
          <w:instrText> NUMPAGES </w:instrText>
        </w:r>
        <w:r>
          <w:rPr>
            <w:sz w:val="24"/>
            <w:szCs w:val="24"/>
            <w:bCs/>
          </w:rPr>
          <w:fldChar w:fldCharType="separate"/>
        </w:r>
        <w:r>
          <w:rPr>
            <w:sz w:val="24"/>
            <w:szCs w:val="24"/>
            <w:bCs/>
          </w:rPr>
          <w:t>5</w:t>
        </w:r>
        <w:r>
          <w:rPr>
            <w:sz w:val="24"/>
            <w:szCs w:val="24"/>
            <w:bCs/>
          </w:rPr>
          <w:fldChar w:fldCharType="end"/>
        </w:r>
      </w:p>
      <w:p>
        <w:pPr>
          <w:pStyle w:val="Zpat"/>
          <w:rPr/>
        </w:pPr>
        <w:r>
          <w:rPr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>
        <w:b/>
        <w:b/>
        <w:sz w:val="24"/>
        <w:szCs w:val="24"/>
      </w:rPr>
    </w:pPr>
    <w:r>
      <w:rPr>
        <w:b/>
        <w:sz w:val="24"/>
        <w:szCs w:val="24"/>
      </w:rPr>
      <w:t xml:space="preserve">Vypořádání připomínek SZP ČR k návrhu výkonů do SZV – prosinec 2024 – leden 2025 (PS 6. března 2025) – </w:t>
    </w:r>
    <w:r>
      <w:rPr>
        <w:b/>
        <w:i w:val="false"/>
        <w:iCs w:val="false"/>
        <w:sz w:val="24"/>
        <w:szCs w:val="24"/>
      </w:rPr>
      <w:t xml:space="preserve">výkony </w:t>
    </w:r>
    <w:r>
      <w:rPr>
        <w:rFonts w:cs="Calibri" w:cstheme="minorHAnsi"/>
        <w:b/>
        <w:i w:val="false"/>
        <w:iCs w:val="false"/>
        <w:sz w:val="24"/>
        <w:szCs w:val="24"/>
      </w:rPr>
      <w:t>36055, 36070, 36048, 36073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rFonts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139a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link w:val="Zhlav"/>
    <w:uiPriority w:val="99"/>
    <w:qFormat/>
    <w:rsid w:val="00b139a2"/>
    <w:rPr/>
  </w:style>
  <w:style w:type="character" w:styleId="ZpatChar" w:customStyle="1">
    <w:name w:val="Zápatí Char"/>
    <w:basedOn w:val="DefaultParagraphFont"/>
    <w:link w:val="Zpat"/>
    <w:uiPriority w:val="99"/>
    <w:qFormat/>
    <w:rsid w:val="00b139a2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39a2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semiHidden/>
    <w:qFormat/>
    <w:rsid w:val="00b139a2"/>
    <w:rPr>
      <w:sz w:val="20"/>
      <w:szCs w:val="20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b139a2"/>
    <w:rPr>
      <w:rFonts w:ascii="Tahoma" w:hAnsi="Tahoma" w:cs="Tahoma"/>
      <w:sz w:val="16"/>
      <w:szCs w:val="16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qFormat/>
    <w:rsid w:val="00b660a5"/>
    <w:rPr>
      <w:b/>
      <w:bCs/>
      <w:sz w:val="20"/>
      <w:szCs w:val="20"/>
    </w:rPr>
  </w:style>
  <w:style w:type="character" w:styleId="Appletabspan" w:customStyle="1">
    <w:name w:val="apple-tab-span"/>
    <w:basedOn w:val="DefaultParagraphFont"/>
    <w:qFormat/>
    <w:rsid w:val="00cc2310"/>
    <w:rPr/>
  </w:style>
  <w:style w:type="character" w:styleId="Internetovodkaz">
    <w:name w:val="Internetový odkaz"/>
    <w:basedOn w:val="DefaultParagraphFont"/>
    <w:uiPriority w:val="99"/>
    <w:unhideWhenUsed/>
    <w:rsid w:val="00bc73fd"/>
    <w:rPr>
      <w:color w:val="0000FF" w:themeColor="hyperlink"/>
      <w:u w:val="single"/>
    </w:rPr>
  </w:style>
  <w:style w:type="character" w:styleId="OdstavecseseznamemChar" w:customStyle="1">
    <w:name w:val="Odstavec se seznamem Char"/>
    <w:link w:val="Odstavecseseznamem"/>
    <w:uiPriority w:val="34"/>
    <w:qFormat/>
    <w:locked/>
    <w:rsid w:val="006c386e"/>
    <w:rPr>
      <w:rFonts w:ascii="Calibri" w:hAnsi="Calibri" w:cs="Times New Roman"/>
    </w:rPr>
  </w:style>
  <w:style w:type="character" w:styleId="Xappleconvertedspace" w:customStyle="1">
    <w:name w:val="x_apple-converted-space"/>
    <w:basedOn w:val="DefaultParagraphFont"/>
    <w:qFormat/>
    <w:rsid w:val="00540e92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  <w:lang w:val="zxx" w:eastAsia="zxx" w:bidi="zxx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b139a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b139a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b139a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cs-CZ" w:eastAsia="en-US" w:bidi="ar-SA"/>
    </w:rPr>
  </w:style>
  <w:style w:type="paragraph" w:styleId="ListParagraph">
    <w:name w:val="List Paragraph"/>
    <w:basedOn w:val="Normal"/>
    <w:link w:val="OdstavecseseznamemChar"/>
    <w:uiPriority w:val="34"/>
    <w:qFormat/>
    <w:rsid w:val="00b139a2"/>
    <w:pPr>
      <w:spacing w:lineRule="auto" w:line="240" w:before="0" w:after="0"/>
      <w:ind w:left="720" w:hanging="0"/>
    </w:pPr>
    <w:rPr>
      <w:rFonts w:ascii="Calibri" w:hAnsi="Calibri" w:cs="Times New Roman"/>
    </w:rPr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b139a2"/>
    <w:pPr>
      <w:spacing w:lineRule="auto" w:line="240"/>
    </w:pPr>
    <w:rPr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139a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b660a5"/>
    <w:pPr/>
    <w:rPr>
      <w:b/>
      <w:bCs/>
    </w:rPr>
  </w:style>
  <w:style w:type="paragraph" w:styleId="Revision">
    <w:name w:val="Revision"/>
    <w:uiPriority w:val="99"/>
    <w:semiHidden/>
    <w:qFormat/>
    <w:rsid w:val="00516f7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paragraph" w:styleId="Xmprfxmsonormal" w:customStyle="1">
    <w:name w:val="xmprfxmsonormal"/>
    <w:basedOn w:val="Normal"/>
    <w:qFormat/>
    <w:rsid w:val="00827317"/>
    <w:pPr>
      <w:spacing w:lineRule="auto" w:line="240" w:beforeAutospacing="1" w:afterAutospacing="1"/>
    </w:pPr>
    <w:rPr>
      <w:rFonts w:ascii="Calibri" w:hAnsi="Calibri" w:cs="Calibri"/>
      <w:lang w:eastAsia="cs-CZ"/>
    </w:rPr>
  </w:style>
  <w:style w:type="paragraph" w:styleId="Xmsolistparagraph" w:customStyle="1">
    <w:name w:val="x_msolistparagraph"/>
    <w:basedOn w:val="Normal"/>
    <w:qFormat/>
    <w:rsid w:val="00540e92"/>
    <w:pPr>
      <w:spacing w:lineRule="auto" w:line="240" w:beforeAutospacing="1" w:afterAutospacing="1"/>
    </w:pPr>
    <w:rPr>
      <w:rFonts w:ascii="Calibri" w:hAnsi="Calibri" w:cs="Calibri"/>
      <w:lang w:eastAsia="cs-CZ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6DC69-B189-4910-A326-9486DD1E3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2081</TotalTime>
  <Application>LibreOffice/7.2.1.2$Windows_X86_64 LibreOffice_project/87b77fad49947c1441b67c559c339af8f3517e22</Application>
  <AppVersion>15.0000</AppVersion>
  <Pages>5</Pages>
  <Words>1188</Words>
  <Characters>6908</Characters>
  <CharactersWithSpaces>8077</CharactersWithSpaces>
  <Paragraphs>47</Paragraphs>
  <Company>cpzp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2025-01-06T09:27:00Z</dcterms:created>
  <dc:creator>merviva</dc:creator>
  <dc:description/>
  <dc:language>cs-CZ</dc:language>
  <cp:lastModifiedBy>Tomáš Havelka</cp:lastModifiedBy>
  <cp:lastPrinted>2024-07-15T11:16:00Z</cp:lastPrinted>
  <dcterms:modified xsi:type="dcterms:W3CDTF">2025-02-01T18:55:03Z</dcterms:modified>
  <cp:revision>866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