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"/>
        <w:gridCol w:w="1394"/>
        <w:gridCol w:w="7041"/>
      </w:tblGrid>
      <w:tr w:rsidR="00382E9A" w:rsidRPr="00351313" w14:paraId="01E59CEE" w14:textId="77777777" w:rsidTr="00670D7D">
        <w:tc>
          <w:tcPr>
            <w:tcW w:w="346" w:type="pct"/>
            <w:shd w:val="clear" w:color="auto" w:fill="auto"/>
            <w:noWrap/>
            <w:vAlign w:val="center"/>
            <w:hideMark/>
          </w:tcPr>
          <w:p w14:paraId="5DDEDCB9" w14:textId="77777777" w:rsidR="00382E9A" w:rsidRPr="00351313" w:rsidRDefault="00382E9A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814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49C68484" w14:textId="77777777" w:rsidR="00382E9A" w:rsidRPr="00351313" w:rsidRDefault="00382E9A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92178</w:t>
            </w: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LC-MS ANALÝZA PO JEDNODUCHÉ ÚPRAVĚ VZORKU</w:t>
            </w: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</w:t>
            </w:r>
            <w:proofErr w:type="gramStart"/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řízení:  změnový</w:t>
            </w:r>
            <w:proofErr w:type="gramEnd"/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registrační list není k dispozici; v podkladech NOVÝ TEXT PODMÍNKY </w:t>
            </w:r>
          </w:p>
        </w:tc>
        <w:tc>
          <w:tcPr>
            <w:tcW w:w="3885" w:type="pct"/>
            <w:shd w:val="clear" w:color="000000" w:fill="FFFFFF"/>
            <w:hideMark/>
          </w:tcPr>
          <w:p w14:paraId="5FD69797" w14:textId="77777777" w:rsidR="00382E9A" w:rsidRPr="00351313" w:rsidRDefault="00382E9A" w:rsidP="00670D7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3513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Prosíme blíže vysvětlit navrhovanou změnu.</w:t>
            </w:r>
          </w:p>
          <w:p w14:paraId="46825B50" w14:textId="77777777" w:rsidR="00382E9A" w:rsidRPr="00351313" w:rsidRDefault="00382E9A" w:rsidP="00670D7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3513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Bylo řešeno i s odborností 801, které se doplnění podmínky týká?</w:t>
            </w:r>
            <w:r w:rsidRPr="003513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O jaký kurz se jedná, kdo ho pořádá? Je k dispozici „vzorový certifikát“ daného kurzu? </w:t>
            </w:r>
            <w:r w:rsidRPr="003513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Daný výkon není otevřen ve změnovém řízení a změna tedy není v Podmínce doplněna.</w:t>
            </w:r>
          </w:p>
          <w:p w14:paraId="11F5F5A4" w14:textId="77777777" w:rsidR="00382E9A" w:rsidRPr="00351313" w:rsidRDefault="00382E9A" w:rsidP="00670D7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i/>
                <w:sz w:val="18"/>
                <w:szCs w:val="18"/>
              </w:rPr>
            </w:pPr>
            <w:r w:rsidRPr="00351313"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  <w:lang w:eastAsia="cs-CZ"/>
              </w:rPr>
              <w:t>Pro info</w:t>
            </w:r>
            <w:r w:rsidRPr="00351313"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  <w:lang w:eastAsia="cs-CZ"/>
              </w:rPr>
              <w:br/>
            </w:r>
            <w:r w:rsidRPr="00351313">
              <w:rPr>
                <w:i/>
                <w:sz w:val="18"/>
                <w:szCs w:val="18"/>
              </w:rPr>
              <w:t xml:space="preserve">Požadavek na úpravu Podmínky – čerpáno z podkladů zaslaných MZ: </w:t>
            </w:r>
          </w:p>
          <w:p w14:paraId="23DD456F" w14:textId="77777777" w:rsidR="00382E9A" w:rsidRPr="00351313" w:rsidRDefault="00382E9A" w:rsidP="00670D7D">
            <w:pPr>
              <w:spacing w:after="0" w:line="240" w:lineRule="auto"/>
              <w:rPr>
                <w:rFonts w:eastAsia="Times New Roman"/>
                <w:i/>
                <w:color w:val="000000"/>
                <w:sz w:val="18"/>
                <w:szCs w:val="18"/>
              </w:rPr>
            </w:pPr>
            <w:r w:rsidRPr="00351313">
              <w:rPr>
                <w:i/>
                <w:sz w:val="18"/>
                <w:szCs w:val="18"/>
              </w:rPr>
              <w:t>Specializovaná laboratoř provádějící toxikologická vyšetření s příslušným prostorovým a přístrojovým vybavením a s personálním zajištěním (VŠ-</w:t>
            </w:r>
            <w:proofErr w:type="spellStart"/>
            <w:r w:rsidRPr="00351313">
              <w:rPr>
                <w:i/>
                <w:sz w:val="18"/>
                <w:szCs w:val="18"/>
              </w:rPr>
              <w:t>nelékař</w:t>
            </w:r>
            <w:proofErr w:type="spellEnd"/>
            <w:r w:rsidRPr="00351313">
              <w:rPr>
                <w:i/>
                <w:sz w:val="18"/>
                <w:szCs w:val="18"/>
              </w:rPr>
              <w:t xml:space="preserve">, který je zodpovědný za provedení analýzy, má: podle </w:t>
            </w:r>
            <w:proofErr w:type="spellStart"/>
            <w:r w:rsidRPr="00351313">
              <w:rPr>
                <w:i/>
                <w:sz w:val="18"/>
                <w:szCs w:val="18"/>
              </w:rPr>
              <w:t>vyhl.č</w:t>
            </w:r>
            <w:proofErr w:type="spellEnd"/>
            <w:r w:rsidRPr="00351313">
              <w:rPr>
                <w:i/>
                <w:sz w:val="18"/>
                <w:szCs w:val="18"/>
              </w:rPr>
              <w:t>. 77/81 Sb. specializovanou způsobilost v oboru „Vyšetřovací metody v instrumentální chemii a toxikologii“ nebo „Vyšetřovací metody v klinické biochemii“ podle zák.č.96/04 Sb. specializovanou způsobilost v oboru „Soudní toxikologie“ nebo „Vyšetřovací metody v klinické biochemii“ s absolvováním 1.části vzdělávacího programu oboru Soudní toxikologie (Povinná praxe v klinické toxikologii), včetně úspěšného zvládnutí příslušného testu, </w:t>
            </w:r>
            <w:r w:rsidRPr="00351313">
              <w:rPr>
                <w:rFonts w:eastAsia="Times New Roman"/>
                <w:i/>
                <w:color w:val="333333"/>
                <w:sz w:val="18"/>
                <w:szCs w:val="18"/>
              </w:rPr>
              <w:t>nebo má specializovanou způsobilost v oboru „Klinická biochemie“ s absolvováním týdenního certifikovaného  kurzu Vyšetřovací metody LC-MS v toxikologii a klinické biochemii, nebo v případě odborné způsobilosti k výkonu povolání farmaceuta podle zák. č. 95/2004 Sb. má specializovanou způsobilost v oboru „Laboratorní a vyšetřovací metody ve zdravotnictví“ s absolvováním týdenního certifikovaného  kurzu Vyšetřovací metody LC-MS v toxikologii a klinické biochemii.</w:t>
            </w:r>
          </w:p>
          <w:p w14:paraId="7ABD7748" w14:textId="77777777" w:rsidR="00382E9A" w:rsidRPr="00351313" w:rsidRDefault="00382E9A" w:rsidP="00670D7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  <w:lang w:eastAsia="cs-CZ"/>
              </w:rPr>
            </w:pPr>
          </w:p>
          <w:p w14:paraId="5195FBB1" w14:textId="77777777" w:rsidR="00382E9A" w:rsidRPr="00351313" w:rsidRDefault="00382E9A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41DBCB0E" w14:textId="77777777" w:rsidR="00E95BE4" w:rsidRDefault="00E95BE4"/>
    <w:p w14:paraId="5A9376F0" w14:textId="73C56C2D" w:rsidR="00382E9A" w:rsidRDefault="00382E9A">
      <w:r>
        <w:t>Vypořádání připomínek za 801:</w:t>
      </w:r>
    </w:p>
    <w:p w14:paraId="161B14C5" w14:textId="5B01175D" w:rsidR="00382E9A" w:rsidRDefault="00382E9A">
      <w:r>
        <w:t>Laboratoře klinické biochemie jsou postupně vybavovány technologií LC/MS (kapalinová chromatografie s detekcí hmotnostním spektrometrem), případně se při konsolidaci laboratorních provozů stává, že tyto analyzátory a také metody jsou přesouvány do centrálních laboratoří.</w:t>
      </w:r>
    </w:p>
    <w:p w14:paraId="30F378BE" w14:textId="5A15AE14" w:rsidR="00382E9A" w:rsidRDefault="00382E9A">
      <w:r>
        <w:t>Původní výkony pro stanovení lékových hladina také hormonů či vitaminů, které jsou stanovovány na imunoanalytických systémech se pro zpřesnění a někdy i pro samotnou možnost měření dostávají do kompetence i biochemické laboratoře.</w:t>
      </w:r>
    </w:p>
    <w:p w14:paraId="1D7749F1" w14:textId="51BB0693" w:rsidR="00382E9A" w:rsidRDefault="00382E9A">
      <w:r>
        <w:t xml:space="preserve">K vykazování těchto výkonů bylo možno zvolit cestu vytvoření vlastních registračních listů. Na druhou stranu se jedná o technologii, kterou už dlouho využívá toxikologická společnost a má schválený výkon pro tento systém. </w:t>
      </w:r>
    </w:p>
    <w:p w14:paraId="66F9C796" w14:textId="42B3CBDF" w:rsidR="00382E9A" w:rsidRDefault="00382E9A">
      <w:r>
        <w:t xml:space="preserve">Požádali jsme je tedy o sdílení tohoto výkonu, ale z pochopitelných důvodů je potřeba, </w:t>
      </w:r>
      <w:r w:rsidR="00A760DF">
        <w:t>aby</w:t>
      </w:r>
      <w:r>
        <w:t xml:space="preserve"> metody prováděli erudovaní pracovníci, což by mělo být zaručeno absolvováním odborného kurzu a následnou zkouškou u specialistů z</w:t>
      </w:r>
      <w:r w:rsidR="00A760DF">
        <w:t> České společnosti soudního lékařství a soudní toxikologie ČLS JEP.</w:t>
      </w:r>
    </w:p>
    <w:p w14:paraId="06A0FC5D" w14:textId="52D041B3" w:rsidR="00546847" w:rsidRDefault="00546847">
      <w:r>
        <w:t xml:space="preserve">Ústav soudního lékařství a medicínského práva FN Olomouc (garant doc. Ondra) ve spolupráci s Oddělením klinické biochemie FN Olomouc (garant prof. </w:t>
      </w:r>
      <w:proofErr w:type="spellStart"/>
      <w:r>
        <w:t>Friedecký</w:t>
      </w:r>
      <w:proofErr w:type="spellEnd"/>
      <w:r>
        <w:t>) připravuje týdenní certifikovaný kurz, který bude mít teoretickou, praktickou a ověřovací (zkouška/test) část.</w:t>
      </w:r>
    </w:p>
    <w:p w14:paraId="077DB179" w14:textId="77777777" w:rsidR="00546847" w:rsidRDefault="00546847" w:rsidP="005468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ind w:left="708" w:hanging="708"/>
        <w:jc w:val="both"/>
        <w:rPr>
          <w:b/>
          <w:sz w:val="20"/>
          <w:szCs w:val="20"/>
        </w:rPr>
      </w:pPr>
      <w:r w:rsidRPr="003F2C00">
        <w:rPr>
          <w:b/>
          <w:sz w:val="20"/>
          <w:szCs w:val="20"/>
        </w:rPr>
        <w:t>MZ ČR</w:t>
      </w:r>
      <w:r w:rsidRPr="003F2C00">
        <w:rPr>
          <w:b/>
          <w:sz w:val="20"/>
          <w:szCs w:val="20"/>
        </w:rPr>
        <w:tab/>
      </w:r>
      <w:r w:rsidRPr="003F2C00">
        <w:rPr>
          <w:b/>
          <w:sz w:val="20"/>
          <w:szCs w:val="20"/>
        </w:rPr>
        <w:tab/>
      </w:r>
      <w:r w:rsidRPr="003F2C00">
        <w:rPr>
          <w:b/>
          <w:sz w:val="20"/>
          <w:szCs w:val="20"/>
        </w:rPr>
        <w:tab/>
      </w:r>
      <w:r w:rsidRPr="003F2C00">
        <w:rPr>
          <w:b/>
          <w:sz w:val="20"/>
          <w:szCs w:val="20"/>
        </w:rPr>
        <w:tab/>
      </w:r>
      <w:r w:rsidRPr="003F2C00">
        <w:rPr>
          <w:b/>
          <w:sz w:val="20"/>
          <w:szCs w:val="20"/>
        </w:rPr>
        <w:tab/>
      </w:r>
      <w:r w:rsidRPr="003F2C00">
        <w:rPr>
          <w:b/>
          <w:sz w:val="20"/>
          <w:szCs w:val="20"/>
        </w:rPr>
        <w:tab/>
      </w:r>
      <w:r w:rsidRPr="003F2C00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                 </w:t>
      </w:r>
      <w:r w:rsidRPr="003F2C00">
        <w:rPr>
          <w:sz w:val="20"/>
          <w:szCs w:val="20"/>
        </w:rPr>
        <w:t>Vzdělávací program certifikovaného kurz</w:t>
      </w:r>
      <w:r w:rsidRPr="003F2C0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</w:p>
    <w:p w14:paraId="7C0E111F" w14:textId="77777777" w:rsidR="00546847" w:rsidRPr="003F2C00" w:rsidRDefault="00546847" w:rsidP="005468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ind w:left="708" w:hanging="708"/>
        <w:jc w:val="both"/>
        <w:rPr>
          <w:b/>
          <w:sz w:val="20"/>
          <w:szCs w:val="20"/>
        </w:rPr>
      </w:pPr>
      <w:r w:rsidRPr="00302A51">
        <w:rPr>
          <w:b/>
          <w:sz w:val="28"/>
          <w:szCs w:val="28"/>
        </w:rPr>
        <w:t>VYŠETŘOVACÍ METODY LC-MS V TOXIKOLOGII A KLINICKÉ BIOCHEMII</w:t>
      </w:r>
    </w:p>
    <w:p w14:paraId="209CC6EA" w14:textId="2C5912E1" w:rsidR="00546847" w:rsidRDefault="00546847">
      <w:r>
        <w:t xml:space="preserve">Úspěšní absolventi tohoto </w:t>
      </w:r>
      <w:proofErr w:type="gramStart"/>
      <w:r>
        <w:t>kurzu</w:t>
      </w:r>
      <w:proofErr w:type="gramEnd"/>
      <w:r>
        <w:t xml:space="preserve"> resp. jejich pracoviště by mělo být kompetentní k vykazování diskutovaného kódu.</w:t>
      </w:r>
    </w:p>
    <w:p w14:paraId="70361A73" w14:textId="77777777" w:rsidR="00546847" w:rsidRDefault="00546847">
      <w:pPr>
        <w:rPr>
          <w:strike/>
        </w:rPr>
      </w:pPr>
      <w:bookmarkStart w:id="0" w:name="_GoBack"/>
      <w:bookmarkEnd w:id="0"/>
    </w:p>
    <w:p w14:paraId="2AF01602" w14:textId="77777777" w:rsidR="00546847" w:rsidRDefault="00546847">
      <w:pPr>
        <w:rPr>
          <w:strike/>
        </w:rPr>
      </w:pPr>
    </w:p>
    <w:p w14:paraId="3ECED414" w14:textId="77777777" w:rsidR="00546847" w:rsidRDefault="00546847">
      <w:pPr>
        <w:rPr>
          <w:strike/>
        </w:rPr>
      </w:pPr>
    </w:p>
    <w:p w14:paraId="67FB863B" w14:textId="57890698" w:rsidR="00382E9A" w:rsidRPr="00546847" w:rsidRDefault="00382E9A">
      <w:pPr>
        <w:rPr>
          <w:strike/>
        </w:rPr>
      </w:pPr>
      <w:r w:rsidRPr="00546847">
        <w:rPr>
          <w:strike/>
        </w:rPr>
        <w:lastRenderedPageBreak/>
        <w:t>Kurzy pro práci s hmotnostní spektrometrií už probíhají dlouho, např. ve FN Olomouc.</w:t>
      </w:r>
    </w:p>
    <w:p w14:paraId="22FB64F2" w14:textId="436C1E80" w:rsidR="00382E9A" w:rsidRPr="00546847" w:rsidRDefault="00382E9A" w:rsidP="00974C6B">
      <w:pPr>
        <w:pStyle w:val="Default"/>
        <w:rPr>
          <w:rFonts w:asciiTheme="minorHAnsi" w:hAnsiTheme="minorHAnsi"/>
          <w:strike/>
        </w:rPr>
      </w:pPr>
      <w:r w:rsidRPr="00546847">
        <w:rPr>
          <w:rFonts w:asciiTheme="minorHAnsi" w:hAnsiTheme="minorHAnsi"/>
          <w:strike/>
        </w:rPr>
        <w:t>Systém kurzu a následné zkoušky by měl být obdobný, jako je to u vykazování výkonů</w:t>
      </w:r>
      <w:r w:rsidR="00974C6B" w:rsidRPr="00546847">
        <w:rPr>
          <w:rFonts w:asciiTheme="minorHAnsi" w:hAnsiTheme="minorHAnsi"/>
          <w:strike/>
        </w:rPr>
        <w:t xml:space="preserve"> Společnosti klinické cytologie </w:t>
      </w:r>
      <w:r w:rsidRPr="00546847">
        <w:rPr>
          <w:rFonts w:asciiTheme="minorHAnsi" w:hAnsiTheme="minorHAnsi"/>
          <w:strike/>
        </w:rPr>
        <w:t xml:space="preserve">pro </w:t>
      </w:r>
      <w:r w:rsidR="00AD18D5" w:rsidRPr="00546847">
        <w:rPr>
          <w:rFonts w:asciiTheme="minorHAnsi" w:hAnsiTheme="minorHAnsi"/>
          <w:strike/>
        </w:rPr>
        <w:t xml:space="preserve">cytologii </w:t>
      </w:r>
      <w:proofErr w:type="spellStart"/>
      <w:r w:rsidR="00AD18D5" w:rsidRPr="00546847">
        <w:rPr>
          <w:rFonts w:asciiTheme="minorHAnsi" w:hAnsiTheme="minorHAnsi"/>
          <w:strike/>
        </w:rPr>
        <w:t>likvoru</w:t>
      </w:r>
      <w:proofErr w:type="spellEnd"/>
      <w:r w:rsidR="00AD18D5" w:rsidRPr="00546847">
        <w:rPr>
          <w:rFonts w:asciiTheme="minorHAnsi" w:hAnsiTheme="minorHAnsi"/>
          <w:strike/>
        </w:rPr>
        <w:t xml:space="preserve"> (kurz + zkouška</w:t>
      </w:r>
      <w:r w:rsidR="00974C6B" w:rsidRPr="00546847">
        <w:rPr>
          <w:rFonts w:asciiTheme="minorHAnsi" w:hAnsiTheme="minorHAnsi"/>
          <w:strike/>
        </w:rPr>
        <w:t xml:space="preserve"> </w:t>
      </w:r>
      <w:hyperlink r:id="rId5" w:history="1">
        <w:proofErr w:type="gramStart"/>
        <w:r w:rsidR="00974C6B" w:rsidRPr="00546847">
          <w:rPr>
            <w:rStyle w:val="Hypertextovodkaz"/>
            <w:rFonts w:asciiTheme="minorHAnsi" w:hAnsiTheme="minorHAnsi"/>
            <w:strike/>
          </w:rPr>
          <w:t>Zkoušk</w:t>
        </w:r>
        <w:r w:rsidR="00974C6B" w:rsidRPr="00546847">
          <w:rPr>
            <w:rStyle w:val="Hypertextovodkaz"/>
            <w:rFonts w:asciiTheme="minorHAnsi" w:hAnsiTheme="minorHAnsi"/>
            <w:strike/>
          </w:rPr>
          <w:t>y</w:t>
        </w:r>
        <w:r w:rsidR="00974C6B" w:rsidRPr="00546847">
          <w:rPr>
            <w:rStyle w:val="Hypertextovodkaz"/>
            <w:rFonts w:asciiTheme="minorHAnsi" w:hAnsiTheme="minorHAnsi"/>
            <w:strike/>
          </w:rPr>
          <w:t xml:space="preserve"> :</w:t>
        </w:r>
        <w:proofErr w:type="gramEnd"/>
        <w:r w:rsidR="00974C6B" w:rsidRPr="00546847">
          <w:rPr>
            <w:rStyle w:val="Hypertextovodkaz"/>
            <w:rFonts w:asciiTheme="minorHAnsi" w:hAnsiTheme="minorHAnsi"/>
            <w:strike/>
          </w:rPr>
          <w:t>: SKC (cyt.cz)</w:t>
        </w:r>
      </w:hyperlink>
      <w:r w:rsidR="00AD18D5" w:rsidRPr="00546847">
        <w:rPr>
          <w:rFonts w:asciiTheme="minorHAnsi" w:hAnsiTheme="minorHAnsi"/>
          <w:strike/>
        </w:rPr>
        <w:t>)</w:t>
      </w:r>
    </w:p>
    <w:sectPr w:rsidR="00382E9A" w:rsidRPr="00546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057FB5"/>
    <w:multiLevelType w:val="hybridMultilevel"/>
    <w:tmpl w:val="4EA6C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E9A"/>
    <w:rsid w:val="00004625"/>
    <w:rsid w:val="002643AA"/>
    <w:rsid w:val="00382E9A"/>
    <w:rsid w:val="00385BEA"/>
    <w:rsid w:val="0043273A"/>
    <w:rsid w:val="00546847"/>
    <w:rsid w:val="006F7D41"/>
    <w:rsid w:val="00974C6B"/>
    <w:rsid w:val="00A760DF"/>
    <w:rsid w:val="00AD18D5"/>
    <w:rsid w:val="00E9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048A6"/>
  <w15:chartTrackingRefBased/>
  <w15:docId w15:val="{204AABC9-663F-447A-B54A-62A6A7BCC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82E9A"/>
    <w:rPr>
      <w:rFonts w:asciiTheme="minorHAnsi" w:hAnsiTheme="minorHAnsi"/>
      <w:kern w:val="0"/>
      <w:sz w:val="22"/>
    </w:rPr>
  </w:style>
  <w:style w:type="paragraph" w:styleId="Nadpis1">
    <w:name w:val="heading 1"/>
    <w:basedOn w:val="Normln"/>
    <w:link w:val="Nadpis1Char"/>
    <w:uiPriority w:val="9"/>
    <w:qFormat/>
    <w:rsid w:val="00AD18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382E9A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basedOn w:val="Standardnpsmoodstavce"/>
    <w:link w:val="Odstavecseseznamem"/>
    <w:uiPriority w:val="34"/>
    <w:locked/>
    <w:rsid w:val="00382E9A"/>
    <w:rPr>
      <w:rFonts w:asciiTheme="minorHAnsi" w:hAnsiTheme="minorHAnsi"/>
      <w:kern w:val="0"/>
      <w:sz w:val="22"/>
    </w:rPr>
  </w:style>
  <w:style w:type="character" w:customStyle="1" w:styleId="Nadpis1Char">
    <w:name w:val="Nadpis 1 Char"/>
    <w:basedOn w:val="Standardnpsmoodstavce"/>
    <w:link w:val="Nadpis1"/>
    <w:uiPriority w:val="9"/>
    <w:rsid w:val="00AD18D5"/>
    <w:rPr>
      <w:rFonts w:eastAsia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A760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974C6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468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yt.cz/zkousk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Springer Drahomíra, doc. Ing. Ph.D.</dc:creator>
  <cp:keywords/>
  <dc:description/>
  <cp:lastModifiedBy>Ondra Peter, doc. RNDr., CSc.</cp:lastModifiedBy>
  <cp:revision>2</cp:revision>
  <dcterms:created xsi:type="dcterms:W3CDTF">2024-07-22T07:24:00Z</dcterms:created>
  <dcterms:modified xsi:type="dcterms:W3CDTF">2024-07-22T07:24:00Z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2024-07-18T12:25:18Z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47d5f326-fb45-4589-ad5f-abd32a4ce58a</vt:lpwstr>
  </property>
  <property fmtid="{D5CDD505-2E9C-101B-9397-08002B2CF9AE}" pid="8" name="MSIP_Label_2063cd7f-2d21-486a-9f29-9c1683fdd175_ContentBits">
    <vt:lpwstr>0</vt:lpwstr>
  </property>
</Properties>
</file>