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981E" w14:textId="6F8EE91E" w:rsidR="00036FAB" w:rsidRPr="00636C7A" w:rsidRDefault="00036FAB" w:rsidP="00036FAB">
      <w:pPr>
        <w:pStyle w:val="Nzev"/>
        <w:jc w:val="center"/>
        <w:rPr>
          <w:b w:val="0"/>
        </w:rPr>
      </w:pPr>
      <w:r>
        <w:t xml:space="preserve">Metodika realizace </w:t>
      </w:r>
      <w:bookmarkStart w:id="0" w:name="_Hlk137667265"/>
      <w:r>
        <w:t>vyšetření poruch štítné žlázy</w:t>
      </w:r>
      <w:r w:rsidRPr="00785A4B">
        <w:t xml:space="preserve"> v</w:t>
      </w:r>
      <w:r>
        <w:t> </w:t>
      </w:r>
      <w:r w:rsidRPr="00785A4B">
        <w:t>těhotenství</w:t>
      </w:r>
      <w:bookmarkEnd w:id="0"/>
      <w:r>
        <w:t xml:space="preserve"> u rizikových žen</w:t>
      </w:r>
    </w:p>
    <w:p w14:paraId="622783D0" w14:textId="1132C7DF" w:rsidR="005C4C68" w:rsidRPr="00216CCE" w:rsidRDefault="00216CCE" w:rsidP="00216CCE">
      <w:pPr>
        <w:pStyle w:val="Podnadpis"/>
        <w:jc w:val="center"/>
        <w:rPr>
          <w:sz w:val="26"/>
          <w:szCs w:val="26"/>
        </w:rPr>
      </w:pPr>
      <w:r w:rsidRPr="17294A4D">
        <w:rPr>
          <w:sz w:val="26"/>
          <w:szCs w:val="26"/>
        </w:rPr>
        <w:t>Dokument byl schválen členy Komise pro přípravu programu časného záchytu poruch štítné žlázy v těhotenství dne</w:t>
      </w:r>
      <w:r w:rsidR="0E9C3520" w:rsidRPr="17294A4D">
        <w:rPr>
          <w:sz w:val="26"/>
          <w:szCs w:val="26"/>
        </w:rPr>
        <w:t xml:space="preserve"> </w:t>
      </w:r>
      <w:r w:rsidR="6DED88DA" w:rsidRPr="17294A4D">
        <w:rPr>
          <w:sz w:val="26"/>
          <w:szCs w:val="26"/>
        </w:rPr>
        <w:t>20. 10. 2025</w:t>
      </w:r>
    </w:p>
    <w:p w14:paraId="20F8BA60" w14:textId="77777777" w:rsidR="005C4C68" w:rsidRDefault="005C4C68" w:rsidP="005C4C68"/>
    <w:p w14:paraId="02EA73A3" w14:textId="77777777" w:rsidR="007E36E9" w:rsidRDefault="007E36E9" w:rsidP="005C4C68"/>
    <w:p w14:paraId="348C49B1" w14:textId="77777777" w:rsidR="00216CCE" w:rsidRPr="00D14D95" w:rsidRDefault="00216CCE" w:rsidP="00216CCE">
      <w:pPr>
        <w:spacing w:before="0" w:after="0"/>
        <w:ind w:left="709" w:hanging="567"/>
        <w:rPr>
          <w:rFonts w:ascii="Calibri" w:hAnsi="Calibri" w:cs="Times New Roman"/>
          <w:b/>
        </w:rPr>
      </w:pPr>
      <w:r w:rsidRPr="00D14D95">
        <w:rPr>
          <w:rFonts w:ascii="Calibri" w:hAnsi="Calibri" w:cs="Times New Roman"/>
          <w:b/>
        </w:rPr>
        <w:t>Název:</w:t>
      </w:r>
    </w:p>
    <w:p w14:paraId="42B42851" w14:textId="1F734F22" w:rsid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>
        <w:rPr>
          <w:rFonts w:ascii="Calibri" w:hAnsi="Calibri" w:cs="Times New Roman"/>
        </w:rPr>
        <w:t>Vyšetření poruch štítné žlázy</w:t>
      </w:r>
      <w:r w:rsidRPr="00180F26">
        <w:rPr>
          <w:rFonts w:ascii="Calibri" w:hAnsi="Calibri" w:cs="Times New Roman"/>
        </w:rPr>
        <w:t xml:space="preserve"> v</w:t>
      </w:r>
      <w:r>
        <w:rPr>
          <w:rFonts w:ascii="Calibri" w:hAnsi="Calibri" w:cs="Times New Roman"/>
        </w:rPr>
        <w:t> </w:t>
      </w:r>
      <w:r w:rsidRPr="00180F26">
        <w:rPr>
          <w:rFonts w:ascii="Calibri" w:hAnsi="Calibri" w:cs="Times New Roman"/>
        </w:rPr>
        <w:t>těhotenství</w:t>
      </w:r>
      <w:r>
        <w:rPr>
          <w:rFonts w:ascii="Calibri" w:hAnsi="Calibri" w:cs="Times New Roman"/>
        </w:rPr>
        <w:t xml:space="preserve"> </w:t>
      </w:r>
      <w:bookmarkStart w:id="1" w:name="_Hlk173247142"/>
      <w:r>
        <w:rPr>
          <w:rFonts w:ascii="Calibri" w:hAnsi="Calibri" w:cs="Times New Roman"/>
        </w:rPr>
        <w:t>u rizikových žen</w:t>
      </w:r>
      <w:bookmarkEnd w:id="1"/>
    </w:p>
    <w:p w14:paraId="5BA0DA28" w14:textId="77777777" w:rsidR="00933605" w:rsidRDefault="00933605" w:rsidP="00216CCE">
      <w:pPr>
        <w:spacing w:before="0" w:after="0"/>
        <w:ind w:left="709" w:hanging="567"/>
        <w:rPr>
          <w:rFonts w:ascii="Calibri" w:hAnsi="Calibri" w:cs="Times New Roman"/>
          <w:b/>
        </w:rPr>
      </w:pPr>
    </w:p>
    <w:p w14:paraId="1CAD9D75" w14:textId="56D4F47C" w:rsidR="00216CCE" w:rsidRPr="00D14D95" w:rsidRDefault="00216CCE" w:rsidP="00216CCE">
      <w:pPr>
        <w:spacing w:before="0" w:after="0"/>
        <w:ind w:left="709" w:hanging="567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Odborný garant programu</w:t>
      </w:r>
    </w:p>
    <w:p w14:paraId="0112B95D" w14:textId="567A8012" w:rsidR="005C4C68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doc. MUDr. Jan Jiskra, Ph.D. </w:t>
      </w:r>
    </w:p>
    <w:p w14:paraId="16C46511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</w:p>
    <w:p w14:paraId="30554080" w14:textId="77777777" w:rsidR="00216CCE" w:rsidRPr="00D14D95" w:rsidRDefault="00216CCE" w:rsidP="00216CCE">
      <w:pPr>
        <w:spacing w:before="0" w:after="0"/>
        <w:ind w:left="709" w:hanging="567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Zainteresované strany</w:t>
      </w:r>
    </w:p>
    <w:p w14:paraId="51982F16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Česká endokrinologická společnost ČLS JEP</w:t>
      </w:r>
    </w:p>
    <w:p w14:paraId="56534EDC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Česká gynekologicko-porodnická společnost ČLS JEP</w:t>
      </w:r>
    </w:p>
    <w:p w14:paraId="55052F07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Sdružení soukromých gynekologů ČR</w:t>
      </w:r>
    </w:p>
    <w:p w14:paraId="42EA08F8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Česká společnost klinické biochemie ČLS JEP</w:t>
      </w:r>
    </w:p>
    <w:p w14:paraId="2766DB60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Společnost všeobecného lékařství ČLS JEP</w:t>
      </w:r>
    </w:p>
    <w:p w14:paraId="2FFABE14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Sdružení praktických lékařů ČR</w:t>
      </w:r>
    </w:p>
    <w:p w14:paraId="415AD4B1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Všeobecná zdravotní pojišťovna ČR</w:t>
      </w:r>
    </w:p>
    <w:p w14:paraId="549E5275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Svaz zdravotních pojišťoven ČR</w:t>
      </w:r>
    </w:p>
    <w:p w14:paraId="58CE2945" w14:textId="77777777" w:rsidR="00216CCE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>Ministerstvo zdravotnictví ČR</w:t>
      </w:r>
    </w:p>
    <w:p w14:paraId="7132855B" w14:textId="3F1DA5C2" w:rsidR="005C4C68" w:rsidRPr="00216CCE" w:rsidRDefault="00216CCE" w:rsidP="00216CCE">
      <w:pPr>
        <w:spacing w:before="0" w:after="0"/>
        <w:ind w:left="709" w:hanging="567"/>
        <w:rPr>
          <w:rFonts w:ascii="Calibri" w:hAnsi="Calibri" w:cs="Times New Roman"/>
        </w:rPr>
      </w:pPr>
      <w:r w:rsidRPr="00216CCE">
        <w:rPr>
          <w:rFonts w:ascii="Calibri" w:hAnsi="Calibri" w:cs="Times New Roman"/>
        </w:rPr>
        <w:t xml:space="preserve">Ústav zdravotnických informací a statistiky </w:t>
      </w:r>
      <w:r>
        <w:rPr>
          <w:rFonts w:ascii="Calibri" w:hAnsi="Calibri" w:cs="Times New Roman"/>
        </w:rPr>
        <w:t>ČR</w:t>
      </w:r>
    </w:p>
    <w:p w14:paraId="1761FB91" w14:textId="77777777" w:rsidR="00216CCE" w:rsidRDefault="00216CCE" w:rsidP="005C4C68"/>
    <w:p w14:paraId="0D982B24" w14:textId="77777777" w:rsidR="00216CCE" w:rsidRDefault="00216CCE" w:rsidP="005C4C6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925"/>
        <w:gridCol w:w="1021"/>
      </w:tblGrid>
      <w:tr w:rsidR="005C4C68" w14:paraId="0AB830EF" w14:textId="77777777" w:rsidTr="00B8472C">
        <w:tc>
          <w:tcPr>
            <w:tcW w:w="1985" w:type="dxa"/>
            <w:tcBorders>
              <w:right w:val="single" w:sz="4" w:space="0" w:color="auto"/>
            </w:tcBorders>
          </w:tcPr>
          <w:p w14:paraId="2B8A7E0B" w14:textId="5CC158AA" w:rsidR="005C4C68" w:rsidRDefault="005C4C68" w:rsidP="00171B9B">
            <w:pPr>
              <w:pStyle w:val="Autoi"/>
            </w:pPr>
            <w:r>
              <w:t>Autoři</w:t>
            </w:r>
            <w:r w:rsidR="00B8472C">
              <w:t xml:space="preserve"> bez titulů:</w:t>
            </w:r>
          </w:p>
        </w:tc>
        <w:tc>
          <w:tcPr>
            <w:tcW w:w="6946" w:type="dxa"/>
            <w:gridSpan w:val="2"/>
            <w:tcBorders>
              <w:left w:val="single" w:sz="4" w:space="0" w:color="auto"/>
            </w:tcBorders>
          </w:tcPr>
          <w:p w14:paraId="2693AF48" w14:textId="10B51959" w:rsidR="005C4C68" w:rsidRDefault="00216CCE" w:rsidP="00216CCE">
            <w:pPr>
              <w:pStyle w:val="Autoi"/>
            </w:pPr>
            <w:r w:rsidRPr="00216CCE">
              <w:t>Jan Jiskra, Marcela Koudelková, Antonín Pařízek, Drahomíra Springer</w:t>
            </w:r>
          </w:p>
        </w:tc>
      </w:tr>
      <w:tr w:rsidR="005C4C68" w14:paraId="72362296" w14:textId="77777777" w:rsidTr="00B8472C">
        <w:trPr>
          <w:gridAfter w:val="1"/>
          <w:wAfter w:w="1021" w:type="dxa"/>
        </w:trPr>
        <w:tc>
          <w:tcPr>
            <w:tcW w:w="1985" w:type="dxa"/>
            <w:tcBorders>
              <w:right w:val="single" w:sz="4" w:space="0" w:color="auto"/>
            </w:tcBorders>
          </w:tcPr>
          <w:p w14:paraId="5739E7C9" w14:textId="77777777" w:rsidR="005C4C68" w:rsidRDefault="005C4C68" w:rsidP="00171B9B">
            <w:pPr>
              <w:pStyle w:val="Autoi"/>
            </w:pPr>
            <w:r>
              <w:t>Verze:</w:t>
            </w:r>
          </w:p>
        </w:tc>
        <w:tc>
          <w:tcPr>
            <w:tcW w:w="5925" w:type="dxa"/>
            <w:tcBorders>
              <w:left w:val="single" w:sz="4" w:space="0" w:color="auto"/>
            </w:tcBorders>
          </w:tcPr>
          <w:p w14:paraId="637DF53D" w14:textId="5D662BF5" w:rsidR="005C4C68" w:rsidRPr="00E431B4" w:rsidRDefault="003631FF" w:rsidP="00171B9B">
            <w:pPr>
              <w:pStyle w:val="Autoi"/>
            </w:pPr>
            <w:r>
              <w:t>7</w:t>
            </w:r>
            <w:r w:rsidR="005C4C68" w:rsidRPr="00E431B4">
              <w:t>.0</w:t>
            </w:r>
          </w:p>
        </w:tc>
      </w:tr>
      <w:tr w:rsidR="005C4C68" w14:paraId="0C0EE6CA" w14:textId="77777777" w:rsidTr="00B8472C">
        <w:trPr>
          <w:gridAfter w:val="1"/>
          <w:wAfter w:w="1021" w:type="dxa"/>
        </w:trPr>
        <w:tc>
          <w:tcPr>
            <w:tcW w:w="1985" w:type="dxa"/>
            <w:tcBorders>
              <w:right w:val="single" w:sz="4" w:space="0" w:color="auto"/>
            </w:tcBorders>
          </w:tcPr>
          <w:p w14:paraId="21D9D73F" w14:textId="77777777" w:rsidR="005C4C68" w:rsidRDefault="005C4C68" w:rsidP="00171B9B">
            <w:pPr>
              <w:pStyle w:val="Autoi"/>
            </w:pPr>
            <w:r>
              <w:t>Datum:</w:t>
            </w:r>
            <w:r>
              <w:tab/>
            </w:r>
          </w:p>
        </w:tc>
        <w:tc>
          <w:tcPr>
            <w:tcW w:w="5925" w:type="dxa"/>
            <w:tcBorders>
              <w:left w:val="single" w:sz="4" w:space="0" w:color="auto"/>
            </w:tcBorders>
          </w:tcPr>
          <w:p w14:paraId="3D233E04" w14:textId="58FD55D3" w:rsidR="005C4C68" w:rsidRPr="00E431B4" w:rsidRDefault="003631FF" w:rsidP="00171B9B">
            <w:pPr>
              <w:pStyle w:val="Autoi"/>
            </w:pPr>
            <w:r>
              <w:t>10</w:t>
            </w:r>
            <w:r w:rsidR="00175CE9">
              <w:t xml:space="preserve">. </w:t>
            </w:r>
            <w:r>
              <w:t>02</w:t>
            </w:r>
            <w:r w:rsidR="00175CE9">
              <w:t xml:space="preserve">. </w:t>
            </w:r>
            <w:r w:rsidR="005C4C68" w:rsidRPr="00E431B4">
              <w:t>20</w:t>
            </w:r>
            <w:r w:rsidR="00216CCE" w:rsidRPr="00E431B4">
              <w:t>2</w:t>
            </w:r>
            <w:r>
              <w:t>6</w:t>
            </w:r>
          </w:p>
        </w:tc>
      </w:tr>
    </w:tbl>
    <w:p w14:paraId="32B883DD" w14:textId="77777777" w:rsidR="005C4C68" w:rsidRDefault="005C4C68" w:rsidP="005C4C68">
      <w:pPr>
        <w:pStyle w:val="Autoi"/>
      </w:pPr>
      <w:r>
        <w:tab/>
      </w:r>
      <w:r>
        <w:tab/>
      </w:r>
      <w:r>
        <w:tab/>
      </w:r>
      <w:r>
        <w:tab/>
      </w:r>
    </w:p>
    <w:p w14:paraId="1250A85B" w14:textId="3568620C" w:rsidR="005C4C68" w:rsidRDefault="005C4C68" w:rsidP="005C4C68">
      <w:pPr>
        <w:sectPr w:rsidR="005C4C68" w:rsidSect="00A93A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851" w:footer="851" w:gutter="0"/>
          <w:cols w:space="708"/>
          <w:docGrid w:linePitch="360"/>
        </w:sectPr>
      </w:pPr>
    </w:p>
    <w:bookmarkStart w:id="2" w:name="_Toc188617802" w:displacedByCustomXml="next"/>
    <w:sdt>
      <w:sdtPr>
        <w:rPr>
          <w:rFonts w:ascii="Cambria" w:eastAsiaTheme="minorEastAsia" w:hAnsi="Cambria" w:cstheme="minorBidi"/>
          <w:b w:val="0"/>
          <w:bCs w:val="0"/>
          <w:color w:val="auto"/>
          <w:sz w:val="22"/>
          <w:szCs w:val="22"/>
        </w:rPr>
        <w:id w:val="1631123949"/>
        <w:docPartObj>
          <w:docPartGallery w:val="Table of Contents"/>
          <w:docPartUnique/>
        </w:docPartObj>
      </w:sdtPr>
      <w:sdtContent>
        <w:p w14:paraId="1250A85C" w14:textId="77777777" w:rsidR="000C13E1" w:rsidRPr="00AA76E8" w:rsidRDefault="000C13E1" w:rsidP="00FE4F03">
          <w:pPr>
            <w:pStyle w:val="Nadpis1"/>
            <w:numPr>
              <w:ilvl w:val="0"/>
              <w:numId w:val="0"/>
            </w:numPr>
          </w:pPr>
          <w:r w:rsidRPr="00AA76E8">
            <w:t>Obsah</w:t>
          </w:r>
          <w:bookmarkEnd w:id="2"/>
        </w:p>
        <w:p w14:paraId="78A79105" w14:textId="7E526CDA" w:rsidR="00A57247" w:rsidRDefault="000C13E1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617802" w:history="1">
            <w:r w:rsidR="00A57247" w:rsidRPr="00814CE3">
              <w:rPr>
                <w:rStyle w:val="Hypertextovodkaz"/>
                <w:noProof/>
              </w:rPr>
              <w:t>Obsah</w:t>
            </w:r>
            <w:r w:rsidR="00A57247">
              <w:rPr>
                <w:noProof/>
                <w:webHidden/>
              </w:rPr>
              <w:tab/>
            </w:r>
            <w:r w:rsidR="00A57247">
              <w:rPr>
                <w:noProof/>
                <w:webHidden/>
              </w:rPr>
              <w:fldChar w:fldCharType="begin"/>
            </w:r>
            <w:r w:rsidR="00A57247">
              <w:rPr>
                <w:noProof/>
                <w:webHidden/>
              </w:rPr>
              <w:instrText xml:space="preserve"> PAGEREF _Toc188617802 \h </w:instrText>
            </w:r>
            <w:r w:rsidR="00A57247">
              <w:rPr>
                <w:noProof/>
                <w:webHidden/>
              </w:rPr>
            </w:r>
            <w:r w:rsidR="00A57247"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1</w:t>
            </w:r>
            <w:r w:rsidR="00A57247">
              <w:rPr>
                <w:noProof/>
                <w:webHidden/>
              </w:rPr>
              <w:fldChar w:fldCharType="end"/>
            </w:r>
          </w:hyperlink>
        </w:p>
        <w:p w14:paraId="4F73545E" w14:textId="7DBB5DB0" w:rsidR="00A57247" w:rsidRDefault="00A57247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03" w:history="1">
            <w:r w:rsidRPr="00814CE3">
              <w:rPr>
                <w:rStyle w:val="Hypertextovodkaz"/>
                <w:noProof/>
              </w:rPr>
              <w:t>Shrnutí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87530" w14:textId="087F31F2" w:rsidR="00A57247" w:rsidRDefault="00A57247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04" w:history="1">
            <w:r w:rsidRPr="00814CE3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48084" w14:textId="7779F253" w:rsidR="00A57247" w:rsidRDefault="00A57247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05" w:history="1">
            <w:r w:rsidRPr="00814CE3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Cíl provádění vyšetření poruch štítné žlázy v těhotenství u rizikových žen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305C5" w14:textId="671329BF" w:rsidR="00A57247" w:rsidRDefault="00A57247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06" w:history="1">
            <w:r w:rsidRPr="00814CE3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Cílová populace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12ACA" w14:textId="4F0E10F2" w:rsidR="00A57247" w:rsidRDefault="00A57247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07" w:history="1">
            <w:r w:rsidRPr="00814CE3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Metodika výběru cílové populace pro vyšetření poruch štítné žlázy v těhotenství u rizikových žen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34128" w14:textId="368473B5" w:rsidR="00A57247" w:rsidRDefault="00A57247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08" w:history="1">
            <w:r w:rsidRPr="00814CE3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Algoritmus vyšetření poruch štítné žlázy v těhotenství u rizikových žen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750BB" w14:textId="6D95B401" w:rsidR="00A57247" w:rsidRDefault="00A57247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09" w:history="1">
            <w:r w:rsidRPr="00814CE3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Postup provádění vyšetření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0EE6C" w14:textId="2A8C64F3" w:rsidR="00A57247" w:rsidRDefault="00A57247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10" w:history="1">
            <w:r w:rsidRPr="00814CE3">
              <w:rPr>
                <w:rStyle w:val="Hypertextovodkaz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Ambulantní gynekologové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792EF" w14:textId="25066509" w:rsidR="00A57247" w:rsidRDefault="00A57247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11" w:history="1">
            <w:r w:rsidRPr="00814CE3">
              <w:rPr>
                <w:rStyle w:val="Hypertextovodkaz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Biochemická laboratoř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C8B4E" w14:textId="7FDDC693" w:rsidR="00A57247" w:rsidRDefault="00A57247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12" w:history="1">
            <w:r w:rsidRPr="00814CE3">
              <w:rPr>
                <w:rStyle w:val="Hypertextovodkaz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Ambulantní endokrinologická péče (došetření dle schváleného algoritmu)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8F6D1" w14:textId="214289D5" w:rsidR="00A57247" w:rsidRDefault="00A57247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13" w:history="1">
            <w:r w:rsidRPr="00814CE3">
              <w:rPr>
                <w:rStyle w:val="Hypertextovodkaz"/>
                <w:noProof/>
              </w:rPr>
              <w:t>4.5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Všeobecní praktičtí lékaři (VPL)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194B5" w14:textId="10793EE2" w:rsidR="00A57247" w:rsidRDefault="00A57247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14" w:history="1">
            <w:r w:rsidRPr="00814CE3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Léčba diagnostikované tyreopatie v graviditě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2A2FE" w14:textId="4A221BFF" w:rsidR="00A57247" w:rsidRDefault="00A57247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15" w:history="1">
            <w:r w:rsidRPr="00814CE3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3CFCE" w14:textId="13C12EB3" w:rsidR="00A57247" w:rsidRDefault="00A57247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16" w:history="1">
            <w:r w:rsidRPr="00814CE3">
              <w:rPr>
                <w:rStyle w:val="Hypertextovodkaz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="00172A67">
              <w:rPr>
                <w:rStyle w:val="Hypertextovodkaz"/>
                <w:noProof/>
              </w:rPr>
              <w:t>S</w:t>
            </w:r>
            <w:r w:rsidRPr="00814CE3">
              <w:rPr>
                <w:rStyle w:val="Hypertextovodkaz"/>
                <w:noProof/>
              </w:rPr>
              <w:t>běr dat do NZIS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7CA09" w14:textId="70D4CC1C" w:rsidR="00A57247" w:rsidRDefault="00A57247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lang w:eastAsia="cs-CZ"/>
              <w14:ligatures w14:val="standardContextual"/>
            </w:rPr>
          </w:pPr>
          <w:hyperlink w:anchor="_Toc188617817" w:history="1">
            <w:r w:rsidRPr="00814CE3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kern w:val="2"/>
                <w:lang w:eastAsia="cs-CZ"/>
                <w14:ligatures w14:val="standardContextual"/>
              </w:rPr>
              <w:tab/>
            </w:r>
            <w:r w:rsidRPr="00814CE3">
              <w:rPr>
                <w:rStyle w:val="Hypertextovodkaz"/>
                <w:noProof/>
              </w:rPr>
              <w:t>Použitá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_Toc188617817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213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0A869" w14:textId="5DCE7796" w:rsidR="00805A16" w:rsidRDefault="000C13E1" w:rsidP="00886605">
          <w:r>
            <w:rPr>
              <w:b/>
              <w:bCs/>
            </w:rPr>
            <w:fldChar w:fldCharType="end"/>
          </w:r>
        </w:p>
      </w:sdtContent>
    </w:sdt>
    <w:p w14:paraId="1250A86A" w14:textId="77777777" w:rsidR="00014680" w:rsidRDefault="00014680" w:rsidP="00CD3C8C">
      <w:pPr>
        <w:jc w:val="center"/>
      </w:pPr>
    </w:p>
    <w:p w14:paraId="1250A86B" w14:textId="77777777" w:rsidR="00014680" w:rsidRDefault="00014680">
      <w:r>
        <w:br w:type="page"/>
      </w:r>
    </w:p>
    <w:p w14:paraId="1250A86F" w14:textId="77777777" w:rsidR="00C74786" w:rsidRDefault="00225193" w:rsidP="00A44906">
      <w:pPr>
        <w:pStyle w:val="Nadpis1"/>
        <w:numPr>
          <w:ilvl w:val="0"/>
          <w:numId w:val="0"/>
        </w:numPr>
        <w:ind w:left="432" w:hanging="432"/>
      </w:pPr>
      <w:bookmarkStart w:id="3" w:name="_Toc188617803"/>
      <w:r>
        <w:lastRenderedPageBreak/>
        <w:t>S</w:t>
      </w:r>
      <w:r w:rsidR="00C74786">
        <w:t>hrnutí</w:t>
      </w:r>
      <w:bookmarkEnd w:id="3"/>
    </w:p>
    <w:p w14:paraId="6B39453E" w14:textId="1F8913A7" w:rsidR="0042301A" w:rsidRDefault="00216CCE" w:rsidP="00216CCE">
      <w:r w:rsidRPr="00E917B6">
        <w:t xml:space="preserve">Tento dokument </w:t>
      </w:r>
      <w:r>
        <w:t>představuje</w:t>
      </w:r>
      <w:r w:rsidRPr="00E917B6">
        <w:t xml:space="preserve"> metodiku</w:t>
      </w:r>
      <w:r w:rsidRPr="0004543D">
        <w:t xml:space="preserve"> realizace </w:t>
      </w:r>
      <w:r>
        <w:t>vyšetření poruch štítné žlázy</w:t>
      </w:r>
      <w:r w:rsidRPr="00180F26">
        <w:t xml:space="preserve"> v</w:t>
      </w:r>
      <w:r>
        <w:t> </w:t>
      </w:r>
      <w:r w:rsidRPr="00180F26">
        <w:t>těhotenství</w:t>
      </w:r>
      <w:r>
        <w:t xml:space="preserve"> </w:t>
      </w:r>
      <w:r w:rsidRPr="00551474">
        <w:t>u</w:t>
      </w:r>
      <w:r w:rsidR="00B8472C">
        <w:t> </w:t>
      </w:r>
      <w:r w:rsidRPr="00551474">
        <w:t>rizikových žen</w:t>
      </w:r>
      <w:r w:rsidR="00FB19D2">
        <w:t xml:space="preserve">. </w:t>
      </w:r>
      <w:r>
        <w:t>Metodika popisuje</w:t>
      </w:r>
      <w:r w:rsidRPr="00E917B6">
        <w:t xml:space="preserve"> </w:t>
      </w:r>
      <w:r>
        <w:t xml:space="preserve">vlastní </w:t>
      </w:r>
      <w:r w:rsidRPr="00E917B6">
        <w:t>realizac</w:t>
      </w:r>
      <w:r>
        <w:t>i</w:t>
      </w:r>
      <w:r w:rsidRPr="00E917B6">
        <w:t xml:space="preserve">, </w:t>
      </w:r>
      <w:r>
        <w:t>metody</w:t>
      </w:r>
      <w:r w:rsidRPr="00E917B6">
        <w:t xml:space="preserve"> </w:t>
      </w:r>
      <w:r>
        <w:t>průběžného</w:t>
      </w:r>
      <w:r w:rsidRPr="00E917B6">
        <w:t xml:space="preserve"> </w:t>
      </w:r>
      <w:r w:rsidRPr="00D856E9">
        <w:t>vyhodnocování a</w:t>
      </w:r>
      <w:r w:rsidR="00B8472C">
        <w:t> </w:t>
      </w:r>
      <w:r w:rsidRPr="00D856E9">
        <w:t>logistiku</w:t>
      </w:r>
      <w:r w:rsidRPr="00E917B6">
        <w:t xml:space="preserve"> procesu. </w:t>
      </w:r>
      <w:r>
        <w:t>Vyšetření</w:t>
      </w:r>
      <w:r w:rsidRPr="00ED648B">
        <w:t xml:space="preserve"> bude probíhat u ambulantních gynekologů. Vyšetření a</w:t>
      </w:r>
      <w:r w:rsidR="00B8472C">
        <w:t> </w:t>
      </w:r>
      <w:r w:rsidRPr="00ED648B">
        <w:t xml:space="preserve">vyhodnocení </w:t>
      </w:r>
      <w:r>
        <w:t xml:space="preserve">laboratorních tyreoidálních </w:t>
      </w:r>
      <w:r w:rsidRPr="00ED648B">
        <w:t xml:space="preserve">parametrů bude realizováno v </w:t>
      </w:r>
      <w:r>
        <w:t>biochemických</w:t>
      </w:r>
      <w:r w:rsidRPr="00ED648B">
        <w:t xml:space="preserve"> laboratořích. </w:t>
      </w:r>
      <w:r w:rsidR="0042301A">
        <w:t>Následná péče o pacientky s pozitivním výsledkem vyšetření bude probíhat v endokrinologických ordinacích.</w:t>
      </w:r>
    </w:p>
    <w:p w14:paraId="2DC1108C" w14:textId="35B709D7" w:rsidR="00216CCE" w:rsidRPr="00F411EF" w:rsidRDefault="00216CCE" w:rsidP="00216CCE">
      <w:r w:rsidRPr="00ED648B">
        <w:t xml:space="preserve">Proces výběru vhodných osob pro </w:t>
      </w:r>
      <w:r w:rsidR="0042301A">
        <w:t>vyšetření</w:t>
      </w:r>
      <w:r>
        <w:t xml:space="preserve"> </w:t>
      </w:r>
      <w:r w:rsidRPr="00E917B6">
        <w:t>je definován v části Cílová populace. Vlastní proces</w:t>
      </w:r>
      <w:r>
        <w:t xml:space="preserve"> realizace vyšetření</w:t>
      </w:r>
      <w:r w:rsidRPr="00E917B6">
        <w:t xml:space="preserve"> je definován v části Algoritmus </w:t>
      </w:r>
      <w:r>
        <w:t xml:space="preserve">vyšetření poruch štítné žlázy v těhotenství </w:t>
      </w:r>
      <w:r w:rsidRPr="00551474">
        <w:t>u rizikových žen</w:t>
      </w:r>
      <w:r w:rsidRPr="00E917B6">
        <w:t xml:space="preserve">. Zásadní složkou </w:t>
      </w:r>
      <w:r>
        <w:t>vyšetřování</w:t>
      </w:r>
      <w:r w:rsidRPr="00E917B6">
        <w:t xml:space="preserve"> je </w:t>
      </w:r>
      <w:r>
        <w:t xml:space="preserve">jeho </w:t>
      </w:r>
      <w:r w:rsidRPr="00E917B6">
        <w:t>průběžné vyhodnocování, které je pops</w:t>
      </w:r>
      <w:r>
        <w:t>áno</w:t>
      </w:r>
      <w:r w:rsidRPr="00E917B6">
        <w:t xml:space="preserve"> v části Evaluace.</w:t>
      </w:r>
    </w:p>
    <w:p w14:paraId="1250A871" w14:textId="77777777" w:rsidR="00A86AB4" w:rsidRDefault="00A86AB4" w:rsidP="00E72D0B">
      <w:pPr>
        <w:spacing w:after="200"/>
      </w:pPr>
      <w:r>
        <w:br w:type="page"/>
      </w:r>
    </w:p>
    <w:p w14:paraId="72E8CD7C" w14:textId="77777777" w:rsidR="00216CCE" w:rsidRDefault="00216CCE" w:rsidP="00216CCE">
      <w:pPr>
        <w:pStyle w:val="Nadpis1"/>
      </w:pPr>
      <w:bookmarkStart w:id="4" w:name="_Toc188617804"/>
      <w:r>
        <w:lastRenderedPageBreak/>
        <w:t>Úvod</w:t>
      </w:r>
      <w:bookmarkEnd w:id="4"/>
    </w:p>
    <w:p w14:paraId="1CD61482" w14:textId="5136FF3F" w:rsidR="00216CCE" w:rsidRDefault="00216CCE" w:rsidP="00216CCE">
      <w:r w:rsidRPr="001E0650">
        <w:t xml:space="preserve">Z hlediska prevalence </w:t>
      </w:r>
      <w:r>
        <w:t>jsou</w:t>
      </w:r>
      <w:r w:rsidRPr="001E0650">
        <w:t xml:space="preserve"> </w:t>
      </w:r>
      <w:proofErr w:type="spellStart"/>
      <w:r w:rsidRPr="001E0650">
        <w:t>tyreopatie</w:t>
      </w:r>
      <w:proofErr w:type="spellEnd"/>
      <w:r w:rsidRPr="001E0650">
        <w:t xml:space="preserve"> </w:t>
      </w:r>
      <w:r>
        <w:t>o</w:t>
      </w:r>
      <w:r w:rsidRPr="001E0650">
        <w:t>nemoc</w:t>
      </w:r>
      <w:r>
        <w:t>nění</w:t>
      </w:r>
      <w:r w:rsidRPr="001E0650">
        <w:t>, kter</w:t>
      </w:r>
      <w:r>
        <w:t>á</w:t>
      </w:r>
      <w:r w:rsidRPr="001E0650">
        <w:t xml:space="preserve"> významně zatěžují českou populaci. Prevalence hypotyreózy a/nebo chronické lymfocytární </w:t>
      </w:r>
      <w:proofErr w:type="spellStart"/>
      <w:r w:rsidRPr="001E0650">
        <w:t>tyreoiditidy</w:t>
      </w:r>
      <w:proofErr w:type="spellEnd"/>
      <w:r w:rsidRPr="001E0650">
        <w:t xml:space="preserve"> je v běžné české populaci gravidních žen až 10</w:t>
      </w:r>
      <w:r>
        <w:t>–</w:t>
      </w:r>
      <w:r w:rsidRPr="001E0650">
        <w:t>15 %, což odpovídá ostatním zemím s dostatečným jodovým zásobením (USA, Velká Británie, Francie apod.). V těhotenství se plně vyjádřená hypotyreóza (manifestní), která, pokud je neléčená, má nejzávažnější důsledky pro plod, vyskytuje asi u 0,5</w:t>
      </w:r>
      <w:r>
        <w:t>–</w:t>
      </w:r>
      <w:r w:rsidRPr="001E0650">
        <w:t>1 % žen, subklinická hypotyreóza asi u 2</w:t>
      </w:r>
      <w:r>
        <w:t>–</w:t>
      </w:r>
      <w:r w:rsidRPr="001E0650">
        <w:t xml:space="preserve">5 % žen a </w:t>
      </w:r>
      <w:proofErr w:type="spellStart"/>
      <w:r w:rsidRPr="001E0650">
        <w:t>eufunkční</w:t>
      </w:r>
      <w:proofErr w:type="spellEnd"/>
      <w:r w:rsidRPr="001E0650">
        <w:t xml:space="preserve"> chronická lymfocytární </w:t>
      </w:r>
      <w:proofErr w:type="spellStart"/>
      <w:r w:rsidRPr="001E0650">
        <w:t>tyreoiditida</w:t>
      </w:r>
      <w:proofErr w:type="spellEnd"/>
      <w:r w:rsidRPr="001E0650">
        <w:t xml:space="preserve"> asi u</w:t>
      </w:r>
      <w:r w:rsidR="009618C1">
        <w:t> </w:t>
      </w:r>
      <w:r w:rsidRPr="001E0650">
        <w:t>10</w:t>
      </w:r>
      <w:r w:rsidR="009618C1">
        <w:noBreakHyphen/>
      </w:r>
      <w:r w:rsidRPr="001E0650">
        <w:t xml:space="preserve">12 % žen (Springer et al. 2009, Jiskra et al. 2011). Máme k dispozici </w:t>
      </w:r>
      <w:r>
        <w:t>řadu studií a meta-analýz, včetně studií v české populaci, které ukázaly,</w:t>
      </w:r>
      <w:r w:rsidRPr="001E0650">
        <w:t xml:space="preserve"> že </w:t>
      </w:r>
      <w:r>
        <w:t xml:space="preserve">neléčená </w:t>
      </w:r>
      <w:r w:rsidRPr="001E0650">
        <w:t>hypotyreóza</w:t>
      </w:r>
      <w:r>
        <w:t xml:space="preserve"> v graviditě zvyšuje riziko komplikací v těhotenství (potraty, předčasné porody, gestační hypertenze a další), je spojena s vyšším rizikem infertility</w:t>
      </w:r>
      <w:r w:rsidRPr="001E0650">
        <w:t xml:space="preserve"> </w:t>
      </w:r>
      <w:r>
        <w:t xml:space="preserve">a s poruchou psychomotorického vývoje narozených dětí </w:t>
      </w:r>
      <w:r w:rsidRPr="001E0650">
        <w:t>(</w:t>
      </w:r>
      <w:proofErr w:type="spellStart"/>
      <w:r w:rsidRPr="00545B55">
        <w:t>Mitchell</w:t>
      </w:r>
      <w:proofErr w:type="spellEnd"/>
      <w:r>
        <w:t xml:space="preserve"> et al. 2004, </w:t>
      </w:r>
      <w:proofErr w:type="spellStart"/>
      <w:r w:rsidRPr="005D2BB3">
        <w:t>Sieiro</w:t>
      </w:r>
      <w:proofErr w:type="spellEnd"/>
      <w:r w:rsidRPr="001E0650">
        <w:t xml:space="preserve"> </w:t>
      </w:r>
      <w:r>
        <w:t xml:space="preserve">et al. 2004, </w:t>
      </w:r>
      <w:proofErr w:type="spellStart"/>
      <w:r w:rsidRPr="00D60D90">
        <w:t>Wang</w:t>
      </w:r>
      <w:proofErr w:type="spellEnd"/>
      <w:r w:rsidRPr="00D60D90">
        <w:t xml:space="preserve"> </w:t>
      </w:r>
      <w:r>
        <w:t xml:space="preserve">et al. 2011, </w:t>
      </w:r>
      <w:r w:rsidRPr="001E0650">
        <w:t>Jiskra et al. 2011</w:t>
      </w:r>
      <w:r>
        <w:t xml:space="preserve">, </w:t>
      </w:r>
      <w:r w:rsidRPr="001E0650">
        <w:t>Bartáková et al. 2013,</w:t>
      </w:r>
      <w:r>
        <w:t xml:space="preserve"> </w:t>
      </w:r>
      <w:proofErr w:type="spellStart"/>
      <w:r w:rsidRPr="00FA600F">
        <w:t>Korevaar</w:t>
      </w:r>
      <w:proofErr w:type="spellEnd"/>
      <w:r w:rsidRPr="00FA600F">
        <w:t xml:space="preserve"> et al. 2016</w:t>
      </w:r>
      <w:r>
        <w:t xml:space="preserve">, </w:t>
      </w:r>
      <w:r w:rsidRPr="00FA600F">
        <w:t>Springer et al. 2017</w:t>
      </w:r>
      <w:r>
        <w:t xml:space="preserve">, </w:t>
      </w:r>
      <w:proofErr w:type="spellStart"/>
      <w:r w:rsidRPr="00E36D28">
        <w:t>Yamamoto</w:t>
      </w:r>
      <w:proofErr w:type="spellEnd"/>
      <w:r w:rsidRPr="00E36D28">
        <w:t xml:space="preserve"> </w:t>
      </w:r>
      <w:r>
        <w:t xml:space="preserve">et al. 2018, </w:t>
      </w:r>
      <w:proofErr w:type="spellStart"/>
      <w:r w:rsidRPr="0060602F">
        <w:t>Nazarpour</w:t>
      </w:r>
      <w:proofErr w:type="spellEnd"/>
      <w:r w:rsidRPr="0060602F">
        <w:t xml:space="preserve"> </w:t>
      </w:r>
      <w:r>
        <w:t xml:space="preserve">et al. 2019, </w:t>
      </w:r>
      <w:proofErr w:type="spellStart"/>
      <w:r w:rsidRPr="00C751F3">
        <w:t>Rao</w:t>
      </w:r>
      <w:proofErr w:type="spellEnd"/>
      <w:r w:rsidRPr="00C751F3">
        <w:t xml:space="preserve"> </w:t>
      </w:r>
      <w:r>
        <w:t xml:space="preserve">et al. 2019, </w:t>
      </w:r>
      <w:proofErr w:type="spellStart"/>
      <w:r w:rsidRPr="00D37A7C">
        <w:t>Bein</w:t>
      </w:r>
      <w:proofErr w:type="spellEnd"/>
      <w:r>
        <w:t xml:space="preserve"> et al. 2021, </w:t>
      </w:r>
      <w:r w:rsidRPr="00A73D47">
        <w:t xml:space="preserve">Ding </w:t>
      </w:r>
      <w:r>
        <w:t xml:space="preserve">et al. 2021, </w:t>
      </w:r>
      <w:proofErr w:type="spellStart"/>
      <w:r w:rsidRPr="00C537E6">
        <w:t>Jiao</w:t>
      </w:r>
      <w:proofErr w:type="spellEnd"/>
      <w:r w:rsidRPr="00C537E6">
        <w:t xml:space="preserve"> </w:t>
      </w:r>
      <w:r>
        <w:t xml:space="preserve">et al. 2022, </w:t>
      </w:r>
      <w:proofErr w:type="spellStart"/>
      <w:r w:rsidRPr="00A30DAD">
        <w:t>Geng</w:t>
      </w:r>
      <w:proofErr w:type="spellEnd"/>
      <w:r w:rsidRPr="00A30DAD">
        <w:t xml:space="preserve"> </w:t>
      </w:r>
      <w:r>
        <w:t xml:space="preserve">et al. 2022, </w:t>
      </w:r>
      <w:proofErr w:type="spellStart"/>
      <w:r w:rsidRPr="002F0696">
        <w:t>Sankoda</w:t>
      </w:r>
      <w:proofErr w:type="spellEnd"/>
      <w:r>
        <w:t xml:space="preserve"> et al. 2024, </w:t>
      </w:r>
      <w:proofErr w:type="spellStart"/>
      <w:r>
        <w:t>Provinciatto</w:t>
      </w:r>
      <w:proofErr w:type="spellEnd"/>
      <w:r>
        <w:t xml:space="preserve"> et al. 2024</w:t>
      </w:r>
      <w:r w:rsidRPr="001E0650">
        <w:t>)</w:t>
      </w:r>
      <w:r>
        <w:t xml:space="preserve">. Dokonce jen pozitivní tyreoidální protilátky (proti tyreoidální peroxidáze – </w:t>
      </w:r>
      <w:proofErr w:type="spellStart"/>
      <w:r>
        <w:t>TPOAb</w:t>
      </w:r>
      <w:proofErr w:type="spellEnd"/>
      <w:r>
        <w:t>) bez poruchy tyreoidální funkce byly spojeny se zvýšeným rizikem infertility, potratu a předčasného porodu (</w:t>
      </w:r>
      <w:proofErr w:type="spellStart"/>
      <w:r w:rsidRPr="00FA600F">
        <w:t>Thangaratinam</w:t>
      </w:r>
      <w:proofErr w:type="spellEnd"/>
      <w:r w:rsidRPr="00FA600F">
        <w:t xml:space="preserve"> et al. 2011, </w:t>
      </w:r>
      <w:proofErr w:type="spellStart"/>
      <w:r>
        <w:t>Negro</w:t>
      </w:r>
      <w:proofErr w:type="spellEnd"/>
      <w:r>
        <w:t xml:space="preserve"> et al. 2005, </w:t>
      </w:r>
      <w:proofErr w:type="spellStart"/>
      <w:r w:rsidRPr="00FA600F">
        <w:t>Negro</w:t>
      </w:r>
      <w:proofErr w:type="spellEnd"/>
      <w:r w:rsidRPr="00FA600F">
        <w:t xml:space="preserve"> et al. 20</w:t>
      </w:r>
      <w:r>
        <w:t xml:space="preserve">06). </w:t>
      </w:r>
      <w:r w:rsidRPr="00AE0A5E">
        <w:t xml:space="preserve"> </w:t>
      </w:r>
    </w:p>
    <w:p w14:paraId="5BDD7CD1" w14:textId="3B6E5715" w:rsidR="00216CCE" w:rsidRDefault="00216CCE" w:rsidP="00216CCE">
      <w:r w:rsidRPr="005309E7">
        <w:t xml:space="preserve">V současné době je platné doporučení České endokrinologické společnosti z r. 2018, novelizace 3/2023 (J. Jiskra, Z. </w:t>
      </w:r>
      <w:proofErr w:type="spellStart"/>
      <w:r w:rsidRPr="005309E7">
        <w:t>Límanová</w:t>
      </w:r>
      <w:proofErr w:type="spellEnd"/>
      <w:r w:rsidRPr="005309E7">
        <w:t xml:space="preserve"> 2018), které</w:t>
      </w:r>
      <w:r>
        <w:t xml:space="preserve"> v souladu se zahraničními </w:t>
      </w:r>
      <w:proofErr w:type="spellStart"/>
      <w:r>
        <w:t>guidelines</w:t>
      </w:r>
      <w:proofErr w:type="spellEnd"/>
      <w:r>
        <w:t xml:space="preserve"> u</w:t>
      </w:r>
      <w:r w:rsidRPr="005309E7">
        <w:t xml:space="preserve">vádí, že vyšetření funkce štítné žlázy </w:t>
      </w:r>
      <w:r>
        <w:t xml:space="preserve">má být v časné fázi gravidity provedeno u všech rizikových žen, definovaných přítomností alespoň 1 z rizikových faktorů </w:t>
      </w:r>
      <w:r w:rsidR="00785F5B">
        <w:t xml:space="preserve">definovaných </w:t>
      </w:r>
      <w:proofErr w:type="spellStart"/>
      <w:r w:rsidR="00785F5B">
        <w:t>A</w:t>
      </w:r>
      <w:r w:rsidR="00DD5528">
        <w:t>merican</w:t>
      </w:r>
      <w:proofErr w:type="spellEnd"/>
      <w:r w:rsidR="00DD5528">
        <w:t xml:space="preserve"> </w:t>
      </w:r>
      <w:proofErr w:type="spellStart"/>
      <w:r w:rsidR="00785F5B">
        <w:t>T</w:t>
      </w:r>
      <w:r w:rsidR="00764C9D">
        <w:t>hyroid</w:t>
      </w:r>
      <w:proofErr w:type="spellEnd"/>
      <w:r w:rsidR="00764C9D">
        <w:t xml:space="preserve"> </w:t>
      </w:r>
      <w:proofErr w:type="spellStart"/>
      <w:r w:rsidR="00764C9D">
        <w:t>Association</w:t>
      </w:r>
      <w:proofErr w:type="spellEnd"/>
      <w:r w:rsidR="002B3F84">
        <w:t xml:space="preserve"> (ATA)</w:t>
      </w:r>
      <w:r w:rsidR="00785F5B">
        <w:t xml:space="preserve"> (A</w:t>
      </w:r>
      <w:r w:rsidR="00BB6945">
        <w:t>lexander et al. 2017</w:t>
      </w:r>
      <w:r w:rsidR="00785F5B">
        <w:t>)</w:t>
      </w:r>
      <w:r w:rsidR="0093247D">
        <w:t>.</w:t>
      </w:r>
      <w:r w:rsidRPr="005309E7">
        <w:t xml:space="preserve"> </w:t>
      </w:r>
      <w:r w:rsidR="00F154B5">
        <w:t>L</w:t>
      </w:r>
      <w:r w:rsidRPr="005309E7">
        <w:t>imitací vyšetření omezeného na rizikové ženy je, že v podmínkách České republiky nejméně 50 % žen s abnormalitami v</w:t>
      </w:r>
      <w:r w:rsidR="009618C1">
        <w:t> </w:t>
      </w:r>
      <w:r w:rsidRPr="005309E7">
        <w:t>tyreoidálních laboratorních testech uniká diagnóze (Horáček et al. 2010, Jiskra et al. 2011).</w:t>
      </w:r>
      <w:r>
        <w:t xml:space="preserve"> </w:t>
      </w:r>
    </w:p>
    <w:p w14:paraId="7CC41DF6" w14:textId="77777777" w:rsidR="00C5538B" w:rsidRPr="002D604F" w:rsidRDefault="00C5538B" w:rsidP="00C5538B">
      <w:pPr>
        <w:pStyle w:val="Nadpis1"/>
      </w:pPr>
      <w:bookmarkStart w:id="5" w:name="_Toc188617805"/>
      <w:r>
        <w:t xml:space="preserve">Cíl </w:t>
      </w:r>
      <w:bookmarkStart w:id="6" w:name="_Hlk135251342"/>
      <w:bookmarkStart w:id="7" w:name="_Hlk135250012"/>
      <w:r>
        <w:t xml:space="preserve">provádění </w:t>
      </w:r>
      <w:bookmarkEnd w:id="6"/>
      <w:bookmarkEnd w:id="7"/>
      <w:r>
        <w:t xml:space="preserve">vyšetření poruch štítné žlázy v těhotenství </w:t>
      </w:r>
      <w:r w:rsidRPr="00551474">
        <w:t>u rizikových žen</w:t>
      </w:r>
      <w:bookmarkEnd w:id="5"/>
    </w:p>
    <w:p w14:paraId="763739E0" w14:textId="77777777" w:rsidR="00C5538B" w:rsidRDefault="00C5538B" w:rsidP="00C5538B">
      <w:bookmarkStart w:id="8" w:name="_Hlk138708588"/>
      <w:r>
        <w:t xml:space="preserve">Cílem vyšetření je </w:t>
      </w:r>
      <w:r w:rsidRPr="00FA600F">
        <w:t>záchyt</w:t>
      </w:r>
      <w:r>
        <w:t xml:space="preserve"> funkční</w:t>
      </w:r>
      <w:r w:rsidRPr="00FA600F">
        <w:t xml:space="preserve"> </w:t>
      </w:r>
      <w:proofErr w:type="spellStart"/>
      <w:r w:rsidRPr="00FA600F">
        <w:t>tyreopati</w:t>
      </w:r>
      <w:r>
        <w:t>e</w:t>
      </w:r>
      <w:proofErr w:type="spellEnd"/>
      <w:r w:rsidRPr="00FA600F">
        <w:t xml:space="preserve"> </w:t>
      </w:r>
      <w:r>
        <w:t>co nejdříve po potvrzení gravidity a její včasná léčba.</w:t>
      </w:r>
      <w:r w:rsidRPr="00FA600F">
        <w:t xml:space="preserve"> </w:t>
      </w:r>
      <w:bookmarkEnd w:id="8"/>
      <w:r w:rsidRPr="00FA600F">
        <w:t>Jde o zánětliv</w:t>
      </w:r>
      <w:r>
        <w:t>é</w:t>
      </w:r>
      <w:r w:rsidRPr="00FA600F">
        <w:t xml:space="preserve"> onemocnění štítné žlázy provázené různým stupněm nedostatku tyreoidálních hormonů</w:t>
      </w:r>
      <w:r>
        <w:t xml:space="preserve"> (hypotyreózou)</w:t>
      </w:r>
      <w:r w:rsidRPr="00FA600F">
        <w:t>, které velmi často probíhá asymptomaticky, nebo jsou příznaky nespecifické, snadno zaniknou v obtížích, které mohou být spojené s graviditou. Neléčená hypotyreóza m</w:t>
      </w:r>
      <w:r>
        <w:t>á</w:t>
      </w:r>
      <w:r w:rsidRPr="00FA600F">
        <w:t xml:space="preserve"> negativní vliv na průběh gravidity a vývoj plodu</w:t>
      </w:r>
      <w:r>
        <w:t xml:space="preserve"> (viz Úvod). Léčba </w:t>
      </w:r>
      <w:proofErr w:type="spellStart"/>
      <w:r>
        <w:t>levotyroxinem</w:t>
      </w:r>
      <w:proofErr w:type="spellEnd"/>
      <w:r>
        <w:t>, která je zahájena včas, má schopnost riziko těchto komplikací snížit (</w:t>
      </w:r>
      <w:proofErr w:type="spellStart"/>
      <w:r w:rsidRPr="00E36D28">
        <w:t>Yamamoto</w:t>
      </w:r>
      <w:proofErr w:type="spellEnd"/>
      <w:r w:rsidRPr="00E36D28">
        <w:t xml:space="preserve"> </w:t>
      </w:r>
      <w:r>
        <w:t xml:space="preserve">et al. 2018, </w:t>
      </w:r>
      <w:proofErr w:type="spellStart"/>
      <w:r w:rsidRPr="0060602F">
        <w:t>Nazarpour</w:t>
      </w:r>
      <w:proofErr w:type="spellEnd"/>
      <w:r w:rsidRPr="0060602F">
        <w:t xml:space="preserve"> </w:t>
      </w:r>
      <w:r>
        <w:t xml:space="preserve">et al. 2019, </w:t>
      </w:r>
      <w:proofErr w:type="spellStart"/>
      <w:r w:rsidRPr="00C751F3">
        <w:t>Rao</w:t>
      </w:r>
      <w:proofErr w:type="spellEnd"/>
      <w:r w:rsidRPr="00C751F3">
        <w:t xml:space="preserve"> </w:t>
      </w:r>
      <w:r>
        <w:t xml:space="preserve">et al. 2019, </w:t>
      </w:r>
      <w:proofErr w:type="spellStart"/>
      <w:r w:rsidRPr="00D37A7C">
        <w:t>Bein</w:t>
      </w:r>
      <w:proofErr w:type="spellEnd"/>
      <w:r>
        <w:t xml:space="preserve"> et al. 2021, </w:t>
      </w:r>
      <w:r w:rsidRPr="00A73D47">
        <w:t xml:space="preserve">Ding </w:t>
      </w:r>
      <w:r>
        <w:t xml:space="preserve">et al. 2021, </w:t>
      </w:r>
      <w:proofErr w:type="spellStart"/>
      <w:r w:rsidRPr="00A30DAD">
        <w:t>Geng</w:t>
      </w:r>
      <w:proofErr w:type="spellEnd"/>
      <w:r w:rsidRPr="00A30DAD">
        <w:t xml:space="preserve"> </w:t>
      </w:r>
      <w:r>
        <w:t xml:space="preserve">et al. 2022, </w:t>
      </w:r>
      <w:proofErr w:type="spellStart"/>
      <w:r w:rsidRPr="002F0696">
        <w:t>Sankoda</w:t>
      </w:r>
      <w:proofErr w:type="spellEnd"/>
      <w:r>
        <w:t xml:space="preserve"> et al. 2024, </w:t>
      </w:r>
      <w:proofErr w:type="spellStart"/>
      <w:r>
        <w:t>Provinciatto</w:t>
      </w:r>
      <w:proofErr w:type="spellEnd"/>
      <w:r>
        <w:t xml:space="preserve"> et al. 2024</w:t>
      </w:r>
      <w:r w:rsidRPr="00FA600F">
        <w:t xml:space="preserve">). </w:t>
      </w:r>
      <w:r>
        <w:t xml:space="preserve"> </w:t>
      </w:r>
    </w:p>
    <w:p w14:paraId="447CF624" w14:textId="75A64921" w:rsidR="00C5538B" w:rsidRDefault="00C5538B" w:rsidP="00C5538B">
      <w:pPr>
        <w:pStyle w:val="Nadpis1"/>
      </w:pPr>
      <w:bookmarkStart w:id="9" w:name="_Toc188617806"/>
      <w:r>
        <w:t>Cílová populace</w:t>
      </w:r>
      <w:bookmarkEnd w:id="9"/>
    </w:p>
    <w:p w14:paraId="21BAA6A7" w14:textId="394F8DA6" w:rsidR="00C5538B" w:rsidRDefault="00C5538B" w:rsidP="00C5538B">
      <w:r>
        <w:t xml:space="preserve">U většiny žen s </w:t>
      </w:r>
      <w:proofErr w:type="spellStart"/>
      <w:r>
        <w:t>tyreopatiemi</w:t>
      </w:r>
      <w:proofErr w:type="spellEnd"/>
      <w:r>
        <w:t xml:space="preserve"> v těhotenství jsou vyjádřeny jen mírné, nespecifické nebo dokonce žádné klinické příznaky. Někdy se příznaky mohou i zaměnit za „běžné“ obtíže. Proto se diagnostika zakládá hlavně na anamnestických rizikových faktorech a laboratorních testech. Jedinou možností pro potvrzení funkční </w:t>
      </w:r>
      <w:proofErr w:type="spellStart"/>
      <w:r>
        <w:t>tyreopatie</w:t>
      </w:r>
      <w:proofErr w:type="spellEnd"/>
      <w:r>
        <w:t xml:space="preserve"> v graviditě je laboratorní test. </w:t>
      </w:r>
    </w:p>
    <w:p w14:paraId="78DD2FD5" w14:textId="77777777" w:rsidR="00C5538B" w:rsidRDefault="00C5538B" w:rsidP="00C5538B">
      <w:pPr>
        <w:pStyle w:val="Nadpis2"/>
      </w:pPr>
      <w:bookmarkStart w:id="10" w:name="_Toc188617807"/>
      <w:r>
        <w:lastRenderedPageBreak/>
        <w:t xml:space="preserve">Metodika výběru cílové populace pro </w:t>
      </w:r>
      <w:r w:rsidRPr="00F00D81">
        <w:t>vyšetření</w:t>
      </w:r>
      <w:r>
        <w:t xml:space="preserve"> poruch štítné žlázy v těhotenství </w:t>
      </w:r>
      <w:bookmarkStart w:id="11" w:name="_Hlk173247242"/>
      <w:r w:rsidRPr="00551474">
        <w:t>u rizikových žen</w:t>
      </w:r>
      <w:bookmarkEnd w:id="10"/>
      <w:bookmarkEnd w:id="11"/>
    </w:p>
    <w:p w14:paraId="344EB1F0" w14:textId="1AB9D082" w:rsidR="004A3617" w:rsidRPr="004A3617" w:rsidRDefault="00C5538B" w:rsidP="004A3617">
      <w:bookmarkStart w:id="12" w:name="_Hlk138708692"/>
      <w:r w:rsidRPr="009F032C">
        <w:t xml:space="preserve">V souladu s mezinárodními </w:t>
      </w:r>
      <w:proofErr w:type="spellStart"/>
      <w:r w:rsidRPr="009F032C">
        <w:t>guidelines</w:t>
      </w:r>
      <w:proofErr w:type="spellEnd"/>
      <w:r w:rsidRPr="009F032C">
        <w:t xml:space="preserve"> (</w:t>
      </w:r>
      <w:proofErr w:type="spellStart"/>
      <w:r w:rsidRPr="009F032C">
        <w:t>Stagnaro</w:t>
      </w:r>
      <w:proofErr w:type="spellEnd"/>
      <w:r w:rsidRPr="009F032C">
        <w:t xml:space="preserve">-Green et al. 2011, De </w:t>
      </w:r>
      <w:proofErr w:type="spellStart"/>
      <w:r w:rsidRPr="009F032C">
        <w:t>Groot</w:t>
      </w:r>
      <w:proofErr w:type="spellEnd"/>
      <w:r w:rsidRPr="009F032C">
        <w:t xml:space="preserve"> et al. 2012</w:t>
      </w:r>
      <w:r w:rsidR="00372326" w:rsidRPr="009F032C">
        <w:t>, Alexander et al. 2017</w:t>
      </w:r>
      <w:r w:rsidRPr="009F032C">
        <w:t xml:space="preserve">) jsou cílovou populací pro laboratorní test všechny </w:t>
      </w:r>
      <w:r w:rsidRPr="009F032C">
        <w:rPr>
          <w:b/>
          <w:bCs/>
        </w:rPr>
        <w:t>těhotné ženy, u kterých je přítomen alespoň 1</w:t>
      </w:r>
      <w:r w:rsidR="009618C1" w:rsidRPr="009F032C">
        <w:rPr>
          <w:b/>
          <w:bCs/>
        </w:rPr>
        <w:t> </w:t>
      </w:r>
      <w:r w:rsidRPr="009F032C">
        <w:rPr>
          <w:b/>
          <w:bCs/>
        </w:rPr>
        <w:t>z rizikových faktorů</w:t>
      </w:r>
      <w:r w:rsidR="00687B6F" w:rsidRPr="009F032C">
        <w:t>,</w:t>
      </w:r>
      <w:r w:rsidRPr="009F032C">
        <w:t xml:space="preserve"> které nejsou dosud léčeny pro tyreoidální dysfunkci. </w:t>
      </w:r>
      <w:r w:rsidR="009F032C" w:rsidRPr="00DE2AF7">
        <w:t>R</w:t>
      </w:r>
      <w:r w:rsidR="00372326" w:rsidRPr="00DE2AF7">
        <w:t xml:space="preserve">izikové faktory </w:t>
      </w:r>
      <w:r w:rsidR="002B3F84" w:rsidRPr="00DE2AF7">
        <w:t xml:space="preserve">podle ATA </w:t>
      </w:r>
      <w:r w:rsidR="00372326" w:rsidRPr="00DE2AF7">
        <w:t xml:space="preserve">byly </w:t>
      </w:r>
      <w:r w:rsidR="00467D89" w:rsidRPr="00DE2AF7">
        <w:t xml:space="preserve">pro potřeby tohoto programu </w:t>
      </w:r>
      <w:r w:rsidR="00F17AD2" w:rsidRPr="00DE2AF7">
        <w:t>modifikovány a jsou uvedeny v tabulce 1.</w:t>
      </w:r>
      <w:r w:rsidR="00372326" w:rsidRPr="00DE2AF7">
        <w:t xml:space="preserve"> </w:t>
      </w:r>
      <w:r w:rsidRPr="00DE2AF7">
        <w:t>Laboratorní test se provádí</w:t>
      </w:r>
      <w:r w:rsidRPr="00DE2AF7">
        <w:rPr>
          <w:b/>
          <w:bCs/>
        </w:rPr>
        <w:t xml:space="preserve"> v prvním trimestru</w:t>
      </w:r>
      <w:r w:rsidRPr="00DE2AF7">
        <w:t xml:space="preserve"> (</w:t>
      </w:r>
      <w:r w:rsidRPr="00DE2AF7">
        <w:rPr>
          <w:b/>
          <w:bCs/>
        </w:rPr>
        <w:t>optimálně do 11. týdne, nejpozději však do 14. týdne těhotenství</w:t>
      </w:r>
      <w:r w:rsidRPr="00DE2AF7">
        <w:t>).</w:t>
      </w:r>
      <w:bookmarkEnd w:id="12"/>
      <w:r w:rsidRPr="00DE2AF7">
        <w:t xml:space="preserve"> Dostaví-li se těhotná žena k prvnímu vyšetření později, rozhodne gynekolog o vyšetření individuálně. Otěhotní-li žena,</w:t>
      </w:r>
      <w:r w:rsidR="00651306" w:rsidRPr="00DE2AF7">
        <w:t xml:space="preserve"> </w:t>
      </w:r>
      <w:r w:rsidRPr="00DE2AF7">
        <w:t>která je pro tyreoidální dysfunkci již léčena (</w:t>
      </w:r>
      <w:proofErr w:type="spellStart"/>
      <w:r w:rsidRPr="00DE2AF7">
        <w:t>levotyroxinem</w:t>
      </w:r>
      <w:proofErr w:type="spellEnd"/>
      <w:r w:rsidRPr="00DE2AF7">
        <w:t xml:space="preserve"> nebo </w:t>
      </w:r>
      <w:proofErr w:type="spellStart"/>
      <w:r w:rsidRPr="00DE2AF7">
        <w:t>thiamazolem</w:t>
      </w:r>
      <w:proofErr w:type="spellEnd"/>
      <w:r w:rsidRPr="00DE2AF7">
        <w:t>/</w:t>
      </w:r>
      <w:proofErr w:type="spellStart"/>
      <w:r w:rsidRPr="00DE2AF7">
        <w:t>propylthio</w:t>
      </w:r>
      <w:proofErr w:type="spellEnd"/>
      <w:r w:rsidR="00FE4E85" w:rsidRPr="00DE2AF7">
        <w:t>-</w:t>
      </w:r>
      <w:r w:rsidRPr="00DE2AF7">
        <w:t xml:space="preserve">uracilem), </w:t>
      </w:r>
      <w:r w:rsidR="0042301A">
        <w:t xml:space="preserve">je třeba </w:t>
      </w:r>
      <w:r w:rsidR="0042301A" w:rsidRPr="00DE2AF7">
        <w:t>kontakt</w:t>
      </w:r>
      <w:r w:rsidR="0042301A">
        <w:t>ovat</w:t>
      </w:r>
      <w:r w:rsidR="0042301A" w:rsidRPr="00DE2AF7">
        <w:t xml:space="preserve"> </w:t>
      </w:r>
      <w:r w:rsidR="00046F17" w:rsidRPr="00DE2AF7">
        <w:t>bezodkladně</w:t>
      </w:r>
      <w:r w:rsidRPr="00DE2AF7">
        <w:t xml:space="preserve"> </w:t>
      </w:r>
      <w:r w:rsidR="0042301A">
        <w:t>ošetřujícího</w:t>
      </w:r>
      <w:r w:rsidR="0042301A" w:rsidRPr="00DE2AF7">
        <w:t xml:space="preserve"> </w:t>
      </w:r>
      <w:r w:rsidRPr="00DE2AF7">
        <w:t xml:space="preserve">endokrinologa (respektive lékaře, který ji pro tyreoidální dysfunkci léčí), pokud tak </w:t>
      </w:r>
      <w:r w:rsidR="0042301A">
        <w:t xml:space="preserve">žena </w:t>
      </w:r>
      <w:r w:rsidRPr="00DE2AF7">
        <w:t xml:space="preserve">už neučinila </w:t>
      </w:r>
      <w:proofErr w:type="spellStart"/>
      <w:r w:rsidRPr="00DE2AF7">
        <w:t>prekoncepčně</w:t>
      </w:r>
      <w:proofErr w:type="spellEnd"/>
      <w:r w:rsidRPr="00DE2AF7">
        <w:t>.</w:t>
      </w:r>
      <w:r w:rsidR="000C5526">
        <w:t xml:space="preserve"> </w:t>
      </w:r>
      <w:r w:rsidR="004A3617">
        <w:t>U</w:t>
      </w:r>
      <w:r w:rsidR="004A3617" w:rsidRPr="004A3617">
        <w:t xml:space="preserve"> těchto žen labor</w:t>
      </w:r>
      <w:r w:rsidR="004A3617">
        <w:t>atorní</w:t>
      </w:r>
      <w:r w:rsidR="004A3617" w:rsidRPr="004A3617">
        <w:t xml:space="preserve"> odbornost ani endokrinolog nevykaz</w:t>
      </w:r>
      <w:r w:rsidR="004A3617">
        <w:t>u</w:t>
      </w:r>
      <w:r w:rsidR="004A3617" w:rsidRPr="004A3617">
        <w:t xml:space="preserve">jí </w:t>
      </w:r>
      <w:r w:rsidR="00870024">
        <w:t xml:space="preserve">žádné </w:t>
      </w:r>
      <w:r w:rsidR="004A3617" w:rsidRPr="004A3617">
        <w:t>nově navržené výkony</w:t>
      </w:r>
      <w:r w:rsidR="004A3617">
        <w:t>.</w:t>
      </w:r>
    </w:p>
    <w:p w14:paraId="5210DBBC" w14:textId="4A0D1CD4" w:rsidR="00C5538B" w:rsidRPr="00DE2AF7" w:rsidRDefault="00C5538B" w:rsidP="00C5538B"/>
    <w:p w14:paraId="1BC8CA1D" w14:textId="790E174B" w:rsidR="003A15E7" w:rsidRPr="00DE2AF7" w:rsidRDefault="00C5538B" w:rsidP="00FF3627">
      <w:pPr>
        <w:pStyle w:val="Tabulka-popis"/>
      </w:pPr>
      <w:r w:rsidRPr="00DE2AF7">
        <w:t xml:space="preserve">Tabulka 1. </w:t>
      </w:r>
      <w:r w:rsidR="00F161F0" w:rsidRPr="00DE2AF7">
        <w:t>Rizikové faktory rozvoje tyreoidální dysfunkce v</w:t>
      </w:r>
      <w:r w:rsidR="00281194" w:rsidRPr="00DE2AF7">
        <w:t> </w:t>
      </w:r>
      <w:r w:rsidR="00B61C8E" w:rsidRPr="00DE2AF7">
        <w:t>těhotenství</w:t>
      </w:r>
    </w:p>
    <w:tbl>
      <w:tblPr>
        <w:tblW w:w="8760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3A15E7" w:rsidRPr="00DE2AF7" w14:paraId="4C68EF77" w14:textId="77777777" w:rsidTr="006552D3">
        <w:trPr>
          <w:trHeight w:val="2816"/>
        </w:trPr>
        <w:tc>
          <w:tcPr>
            <w:tcW w:w="8760" w:type="dxa"/>
          </w:tcPr>
          <w:p w14:paraId="5F785661" w14:textId="3BAFFCFF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r w:rsidRPr="00DE2AF7">
              <w:rPr>
                <w:szCs w:val="28"/>
              </w:rPr>
              <w:t xml:space="preserve">Autoimunitní </w:t>
            </w:r>
            <w:proofErr w:type="spellStart"/>
            <w:r w:rsidRPr="00DE2AF7">
              <w:rPr>
                <w:szCs w:val="28"/>
              </w:rPr>
              <w:t>tyreopatie</w:t>
            </w:r>
            <w:proofErr w:type="spellEnd"/>
            <w:r w:rsidRPr="00DE2AF7">
              <w:rPr>
                <w:szCs w:val="28"/>
              </w:rPr>
              <w:t xml:space="preserve"> a/nebo tyreoidální dysfunkce v osobní anamnéze</w:t>
            </w:r>
          </w:p>
          <w:p w14:paraId="26969E62" w14:textId="52B70638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r w:rsidRPr="00DE2AF7">
              <w:rPr>
                <w:szCs w:val="28"/>
              </w:rPr>
              <w:t xml:space="preserve">Autoimunitní </w:t>
            </w:r>
            <w:proofErr w:type="spellStart"/>
            <w:r w:rsidRPr="00DE2AF7">
              <w:rPr>
                <w:szCs w:val="28"/>
              </w:rPr>
              <w:t>tyreopatie</w:t>
            </w:r>
            <w:proofErr w:type="spellEnd"/>
            <w:r w:rsidRPr="00DE2AF7">
              <w:rPr>
                <w:szCs w:val="28"/>
              </w:rPr>
              <w:t xml:space="preserve"> a/nebo tyreoidální dysfunkce v rodinné anamnéze</w:t>
            </w:r>
          </w:p>
          <w:p w14:paraId="7B46D297" w14:textId="2A82B19B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r w:rsidRPr="00DE2AF7">
              <w:rPr>
                <w:szCs w:val="28"/>
              </w:rPr>
              <w:t xml:space="preserve">Aktuální příznaky tyreoidální dysfunkce </w:t>
            </w:r>
          </w:p>
          <w:p w14:paraId="6709E583" w14:textId="5693F955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r w:rsidRPr="00DE2AF7">
              <w:rPr>
                <w:szCs w:val="28"/>
              </w:rPr>
              <w:t xml:space="preserve">Struma </w:t>
            </w:r>
          </w:p>
          <w:p w14:paraId="01B6B9C5" w14:textId="3D25341A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r w:rsidRPr="00DE2AF7">
              <w:rPr>
                <w:szCs w:val="28"/>
              </w:rPr>
              <w:t>Pozitivní tyreoidální protilátky (</w:t>
            </w:r>
            <w:proofErr w:type="spellStart"/>
            <w:r w:rsidRPr="00DE2AF7">
              <w:rPr>
                <w:szCs w:val="28"/>
              </w:rPr>
              <w:t>TPOAb</w:t>
            </w:r>
            <w:proofErr w:type="spellEnd"/>
            <w:r w:rsidRPr="00DE2AF7">
              <w:rPr>
                <w:szCs w:val="28"/>
              </w:rPr>
              <w:t xml:space="preserve"> a/nebo </w:t>
            </w:r>
            <w:proofErr w:type="spellStart"/>
            <w:r w:rsidRPr="00DE2AF7">
              <w:rPr>
                <w:szCs w:val="28"/>
              </w:rPr>
              <w:t>TgAb</w:t>
            </w:r>
            <w:proofErr w:type="spellEnd"/>
            <w:r w:rsidRPr="00DE2AF7">
              <w:rPr>
                <w:szCs w:val="28"/>
              </w:rPr>
              <w:t>)</w:t>
            </w:r>
          </w:p>
          <w:p w14:paraId="5A01729D" w14:textId="748A4C8E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r w:rsidRPr="00DE2AF7">
              <w:rPr>
                <w:szCs w:val="28"/>
              </w:rPr>
              <w:t>Ozáření hlavy nebo krku v minulosti</w:t>
            </w:r>
          </w:p>
          <w:p w14:paraId="0496C5C9" w14:textId="31B27F09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r w:rsidRPr="00DE2AF7">
              <w:rPr>
                <w:szCs w:val="28"/>
              </w:rPr>
              <w:t>Operace štítné žlázy v minulosti</w:t>
            </w:r>
          </w:p>
          <w:p w14:paraId="272E64D9" w14:textId="3149CC73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proofErr w:type="spellStart"/>
            <w:r w:rsidRPr="00DE2AF7">
              <w:rPr>
                <w:szCs w:val="28"/>
              </w:rPr>
              <w:t>Pregestační</w:t>
            </w:r>
            <w:proofErr w:type="spellEnd"/>
            <w:r w:rsidRPr="00DE2AF7">
              <w:rPr>
                <w:szCs w:val="28"/>
              </w:rPr>
              <w:t xml:space="preserve"> diabetes </w:t>
            </w:r>
            <w:proofErr w:type="spellStart"/>
            <w:r w:rsidRPr="00DE2AF7">
              <w:rPr>
                <w:szCs w:val="28"/>
              </w:rPr>
              <w:t>mellitus</w:t>
            </w:r>
            <w:proofErr w:type="spellEnd"/>
            <w:r w:rsidRPr="00DE2AF7">
              <w:rPr>
                <w:szCs w:val="28"/>
              </w:rPr>
              <w:t xml:space="preserve"> nebo jiné autoimunitní onemocnění </w:t>
            </w:r>
          </w:p>
          <w:p w14:paraId="39DF8E7B" w14:textId="2EB53345" w:rsidR="00851D14" w:rsidRPr="00DE2AF7" w:rsidRDefault="00851D14" w:rsidP="00281194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Cs w:val="28"/>
              </w:rPr>
            </w:pPr>
            <w:r w:rsidRPr="00DE2AF7">
              <w:rPr>
                <w:szCs w:val="28"/>
              </w:rPr>
              <w:t>Dva a více spontánních abortů v anamnéze</w:t>
            </w:r>
          </w:p>
          <w:p w14:paraId="18CEB0FF" w14:textId="474EF6BC" w:rsidR="003A15E7" w:rsidRPr="00DE2AF7" w:rsidRDefault="00851D14" w:rsidP="006552D3">
            <w:pPr>
              <w:pStyle w:val="Odstavecseseznamem"/>
              <w:numPr>
                <w:ilvl w:val="0"/>
                <w:numId w:val="0"/>
              </w:numPr>
              <w:spacing w:before="60" w:after="60"/>
              <w:ind w:firstLine="321"/>
              <w:rPr>
                <w:sz w:val="18"/>
              </w:rPr>
            </w:pPr>
            <w:r w:rsidRPr="00DE2AF7">
              <w:rPr>
                <w:szCs w:val="28"/>
              </w:rPr>
              <w:t xml:space="preserve">Užívání </w:t>
            </w:r>
            <w:proofErr w:type="spellStart"/>
            <w:r w:rsidRPr="00DE2AF7">
              <w:rPr>
                <w:szCs w:val="28"/>
              </w:rPr>
              <w:t>amiodaronu</w:t>
            </w:r>
            <w:proofErr w:type="spellEnd"/>
            <w:r w:rsidRPr="00DE2AF7">
              <w:rPr>
                <w:szCs w:val="28"/>
              </w:rPr>
              <w:t xml:space="preserve"> nebo lithia nebo nedávná aplikace jodové RTG kontrastní látky</w:t>
            </w:r>
          </w:p>
        </w:tc>
      </w:tr>
    </w:tbl>
    <w:p w14:paraId="5EB75FF2" w14:textId="77777777" w:rsidR="00281194" w:rsidRPr="00DE2AF7" w:rsidRDefault="00281194" w:rsidP="00281194">
      <w:proofErr w:type="spellStart"/>
      <w:r w:rsidRPr="00DE2AF7">
        <w:t>TPOAb</w:t>
      </w:r>
      <w:proofErr w:type="spellEnd"/>
      <w:r w:rsidRPr="00DE2AF7">
        <w:t xml:space="preserve">: protilátky proti tyreoidální peroxidáze, </w:t>
      </w:r>
      <w:proofErr w:type="spellStart"/>
      <w:r w:rsidRPr="00DE2AF7">
        <w:t>TgAb</w:t>
      </w:r>
      <w:proofErr w:type="spellEnd"/>
      <w:r w:rsidRPr="00DE2AF7">
        <w:t>: protilátky proti tyreoglobulinu</w:t>
      </w:r>
    </w:p>
    <w:p w14:paraId="5A3CE1BF" w14:textId="77777777" w:rsidR="00FF3627" w:rsidRDefault="00FF3627" w:rsidP="00C5538B"/>
    <w:p w14:paraId="1F725987" w14:textId="42D96B38" w:rsidR="0003218A" w:rsidRDefault="0003218A" w:rsidP="0003218A">
      <w:pPr>
        <w:pStyle w:val="Nadpis1"/>
      </w:pPr>
      <w:bookmarkStart w:id="13" w:name="_Toc532564385"/>
      <w:bookmarkStart w:id="14" w:name="_Toc188617808"/>
      <w:r>
        <w:t xml:space="preserve">Algoritmus </w:t>
      </w:r>
      <w:bookmarkStart w:id="15" w:name="_Hlk173305085"/>
      <w:bookmarkEnd w:id="13"/>
      <w:r>
        <w:t xml:space="preserve">vyšetření poruch štítné žlázy v těhotenství </w:t>
      </w:r>
      <w:r w:rsidRPr="00551474">
        <w:t>u rizikových žen</w:t>
      </w:r>
      <w:bookmarkEnd w:id="14"/>
      <w:bookmarkEnd w:id="15"/>
    </w:p>
    <w:p w14:paraId="7E46CF43" w14:textId="3448495C" w:rsidR="00C5538B" w:rsidRDefault="00C5538B" w:rsidP="00C5538B">
      <w:r>
        <w:t>Vychází z odborného konsensu zapojených stran na základě mezinárodních doporučení a</w:t>
      </w:r>
      <w:r w:rsidR="009618C1">
        <w:t> </w:t>
      </w:r>
      <w:r>
        <w:t xml:space="preserve">lokálních specifik zdravotního systému a dostupných personálních a technických zdrojů.  </w:t>
      </w:r>
    </w:p>
    <w:p w14:paraId="2902FED1" w14:textId="77777777" w:rsidR="0003218A" w:rsidRDefault="0003218A" w:rsidP="0003218A">
      <w:pPr>
        <w:pStyle w:val="Nadpis2"/>
      </w:pPr>
      <w:bookmarkStart w:id="16" w:name="_Toc188617809"/>
      <w:r>
        <w:t>Postup provádění vyšetření</w:t>
      </w:r>
      <w:bookmarkEnd w:id="16"/>
      <w:r>
        <w:t xml:space="preserve"> </w:t>
      </w:r>
    </w:p>
    <w:p w14:paraId="08584A64" w14:textId="4D22CD63" w:rsidR="0003218A" w:rsidRDefault="0003218A" w:rsidP="0003218A">
      <w:r w:rsidRPr="00335FC6">
        <w:t xml:space="preserve">Do procesu </w:t>
      </w:r>
      <w:r>
        <w:t xml:space="preserve">vyšetření </w:t>
      </w:r>
      <w:r w:rsidRPr="00335FC6">
        <w:t xml:space="preserve">budou zapojeni ambulantní </w:t>
      </w:r>
      <w:r>
        <w:t>gynekologové</w:t>
      </w:r>
      <w:r w:rsidRPr="00335FC6">
        <w:t xml:space="preserve"> a </w:t>
      </w:r>
      <w:r>
        <w:t xml:space="preserve">ambulantní endokrinologové, případně </w:t>
      </w:r>
      <w:r w:rsidRPr="00335FC6">
        <w:t>praktičtí lékaři</w:t>
      </w:r>
      <w:r>
        <w:t>, kteří mohou převzít ženu do další péče cca půl roku po porodu. Laboratorní t</w:t>
      </w:r>
      <w:r w:rsidRPr="007E1EDA">
        <w:t xml:space="preserve">est </w:t>
      </w:r>
      <w:r w:rsidR="0042301A">
        <w:t xml:space="preserve">se </w:t>
      </w:r>
      <w:r>
        <w:t>provád</w:t>
      </w:r>
      <w:r w:rsidR="0042301A">
        <w:t>í</w:t>
      </w:r>
      <w:r w:rsidRPr="007E1EDA">
        <w:t xml:space="preserve"> ze žilní krve odebrané ráno nalačno, </w:t>
      </w:r>
      <w:r w:rsidRPr="006F02FB">
        <w:rPr>
          <w:b/>
          <w:bCs/>
        </w:rPr>
        <w:t>v prvním trimestru</w:t>
      </w:r>
      <w:r w:rsidRPr="00CD1E7E">
        <w:t xml:space="preserve"> (optimálně do 11. týdne, nejpozději však do 14. týdne těhotenství). Dostaví-li se </w:t>
      </w:r>
      <w:r>
        <w:t xml:space="preserve">těhotná </w:t>
      </w:r>
      <w:r w:rsidRPr="00CD1E7E">
        <w:t>žena k</w:t>
      </w:r>
      <w:r w:rsidR="009618C1">
        <w:t> </w:t>
      </w:r>
      <w:r w:rsidRPr="00CD1E7E">
        <w:t xml:space="preserve">prvnímu vyšetření později, </w:t>
      </w:r>
      <w:r>
        <w:t xml:space="preserve">rozhodne o případném provedení </w:t>
      </w:r>
      <w:r w:rsidRPr="00CD1E7E">
        <w:t>vyšetření gynekolog individuálně</w:t>
      </w:r>
      <w:r>
        <w:t xml:space="preserve">. </w:t>
      </w:r>
      <w:r w:rsidR="000C5526">
        <w:t>Na žádance musí být uvedeno, že se jedná o vyšetření časného záchytu poruch štítné žlázy u rizikové těhotné ženy</w:t>
      </w:r>
      <w:r w:rsidR="00870024">
        <w:t xml:space="preserve"> v I. trimestru těhotenství</w:t>
      </w:r>
      <w:r w:rsidR="000C5526">
        <w:t>.</w:t>
      </w:r>
    </w:p>
    <w:p w14:paraId="623FB125" w14:textId="07B4FBC7" w:rsidR="00D9057D" w:rsidRDefault="0003218A" w:rsidP="0003218A">
      <w:bookmarkStart w:id="17" w:name="_Hlk138709085"/>
      <w:r>
        <w:lastRenderedPageBreak/>
        <w:t xml:space="preserve">V laboratoři bude proveden </w:t>
      </w:r>
      <w:r w:rsidRPr="007365A5">
        <w:rPr>
          <w:b/>
          <w:bCs/>
        </w:rPr>
        <w:t>„flexní“ tyreoidální test</w:t>
      </w:r>
      <w:r>
        <w:t xml:space="preserve">, jehož vyhodnocení zajistí laboratoř. Laboratoř bude o výsledku testu neprodleně informovat odesílající gynekologické pracoviště </w:t>
      </w:r>
      <w:bookmarkEnd w:id="17"/>
      <w:r>
        <w:t>a</w:t>
      </w:r>
      <w:r w:rsidR="009618C1">
        <w:t> </w:t>
      </w:r>
      <w:r>
        <w:t xml:space="preserve">výsledky poskytne v tištěné nebo elektronické podobě. Podrobný postup je popsán v Tabulce 2. </w:t>
      </w:r>
    </w:p>
    <w:p w14:paraId="4E6114D3" w14:textId="3A4DD34D" w:rsidR="00C5538B" w:rsidRDefault="0003218A" w:rsidP="0003218A">
      <w:pPr>
        <w:pStyle w:val="Tabulka-popis"/>
      </w:pPr>
      <w:r>
        <w:t xml:space="preserve">Tabulka 2. </w:t>
      </w:r>
      <w:r w:rsidRPr="003506BA">
        <w:t xml:space="preserve">Algoritmus </w:t>
      </w:r>
      <w:r>
        <w:t>„flexního“ tyreoidálního laboratorního testu v těhotenství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554"/>
        <w:gridCol w:w="2073"/>
        <w:gridCol w:w="3424"/>
        <w:gridCol w:w="60"/>
      </w:tblGrid>
      <w:tr w:rsidR="0003218A" w:rsidRPr="00967E29" w14:paraId="2694FD93" w14:textId="77777777" w:rsidTr="00B7012E"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5DEF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67E29">
              <w:rPr>
                <w:rFonts w:ascii="Calibri" w:eastAsia="Calibri" w:hAnsi="Calibri" w:cs="Calibri"/>
                <w:b/>
                <w:bCs/>
              </w:rPr>
              <w:t>TSH (</w:t>
            </w:r>
            <w:proofErr w:type="spellStart"/>
            <w:r w:rsidRPr="00967E29">
              <w:rPr>
                <w:rFonts w:ascii="Calibri" w:eastAsia="Calibri" w:hAnsi="Calibri" w:cs="Calibri"/>
                <w:b/>
                <w:bCs/>
              </w:rPr>
              <w:t>mU</w:t>
            </w:r>
            <w:proofErr w:type="spellEnd"/>
            <w:r w:rsidRPr="00967E29"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 w:rsidRPr="00967E29"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67EB7D1A" w14:textId="62E39065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Pr="00967E29">
              <w:rPr>
                <w:rFonts w:ascii="Calibri" w:eastAsia="Calibri" w:hAnsi="Calibri" w:cs="Calibri"/>
              </w:rPr>
              <w:t xml:space="preserve">dběr žilní krve ráno nalačno </w:t>
            </w:r>
            <w:r w:rsidR="008255FD" w:rsidRPr="008255FD">
              <w:rPr>
                <w:rFonts w:ascii="Calibri" w:eastAsia="Calibri" w:hAnsi="Calibri" w:cs="Calibri"/>
                <w:b/>
                <w:bCs/>
              </w:rPr>
              <w:t>co nejdříve</w:t>
            </w:r>
            <w:r w:rsidRPr="006F02FB">
              <w:rPr>
                <w:rFonts w:ascii="Calibri" w:eastAsia="Calibri" w:hAnsi="Calibri" w:cs="Calibri"/>
                <w:b/>
                <w:bCs/>
              </w:rPr>
              <w:t xml:space="preserve"> v prvním trimestru</w:t>
            </w:r>
            <w:r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Pr="00CD1E7E">
              <w:rPr>
                <w:rFonts w:ascii="Calibri" w:eastAsia="Calibri" w:hAnsi="Calibri" w:cs="Calibri"/>
              </w:rPr>
              <w:t>optimálně do 11. týdne, nejpozději však do 14. týdne těhotenství.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D1E7E">
              <w:rPr>
                <w:rFonts w:ascii="Calibri" w:eastAsia="Calibri" w:hAnsi="Calibri" w:cs="Calibri"/>
              </w:rPr>
              <w:t xml:space="preserve">Dostaví-li se </w:t>
            </w:r>
            <w:r>
              <w:rPr>
                <w:rFonts w:ascii="Calibri" w:eastAsia="Calibri" w:hAnsi="Calibri" w:cs="Calibri"/>
              </w:rPr>
              <w:t xml:space="preserve">těhotná </w:t>
            </w:r>
            <w:r w:rsidRPr="00CD1E7E">
              <w:rPr>
                <w:rFonts w:ascii="Calibri" w:eastAsia="Calibri" w:hAnsi="Calibri" w:cs="Calibri"/>
              </w:rPr>
              <w:t>žena k prvnímu vyšetření později, rozhodne o vyšetření gynekolog individuálně.</w:t>
            </w:r>
          </w:p>
        </w:tc>
        <w:tc>
          <w:tcPr>
            <w:tcW w:w="6" w:type="dxa"/>
            <w:vAlign w:val="center"/>
            <w:hideMark/>
          </w:tcPr>
          <w:p w14:paraId="502B4222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</w:rPr>
              <w:t> </w:t>
            </w:r>
          </w:p>
        </w:tc>
      </w:tr>
      <w:tr w:rsidR="0003218A" w:rsidRPr="00967E29" w14:paraId="09A93CAA" w14:textId="77777777" w:rsidTr="00B7012E">
        <w:tc>
          <w:tcPr>
            <w:tcW w:w="35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C778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</w:rPr>
              <w:t>TSH &lt;LLRR</w:t>
            </w:r>
            <w:r w:rsidRPr="00967E29">
              <w:rPr>
                <w:rFonts w:ascii="Calibri" w:eastAsia="Calibri" w:hAnsi="Calibri" w:cs="Calibri"/>
                <w:vertAlign w:val="superscript"/>
                <w:lang w:eastAsia="cs-CZ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22FB" w14:textId="2CED983C" w:rsidR="0003218A" w:rsidRPr="00967E29" w:rsidRDefault="0003218A" w:rsidP="003A6952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</w:rPr>
              <w:t>TSH v referenčním intervalu laboratoře pro těhotné ženy v</w:t>
            </w:r>
            <w:r w:rsidR="003A6952">
              <w:rPr>
                <w:rFonts w:ascii="Calibri" w:eastAsia="Calibri" w:hAnsi="Calibri" w:cs="Calibri"/>
              </w:rPr>
              <w:t> I</w:t>
            </w:r>
            <w:r w:rsidRPr="00967E29">
              <w:rPr>
                <w:rFonts w:ascii="Calibri" w:eastAsia="Calibri" w:hAnsi="Calibri" w:cs="Calibri"/>
              </w:rPr>
              <w:t>. trimestru</w:t>
            </w:r>
            <w:r w:rsidR="00B8472C">
              <w:rPr>
                <w:rStyle w:val="Znakapoznpodarou"/>
                <w:rFonts w:ascii="Calibri" w:eastAsia="Calibri" w:hAnsi="Calibri" w:cs="Calibri"/>
              </w:rPr>
              <w:footnoteReference w:id="1"/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CF99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</w:rPr>
              <w:t>TSH&gt; ULRR</w:t>
            </w:r>
            <w:r w:rsidRPr="00967E29">
              <w:rPr>
                <w:rFonts w:ascii="Calibri" w:eastAsia="Calibri" w:hAnsi="Calibri" w:cs="Calibri"/>
                <w:vertAlign w:val="superscript"/>
                <w:lang w:eastAsia="cs-CZ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14:paraId="4354074F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</w:rPr>
              <w:t> </w:t>
            </w:r>
          </w:p>
        </w:tc>
      </w:tr>
      <w:tr w:rsidR="0003218A" w:rsidRPr="00967E29" w14:paraId="568E374E" w14:textId="77777777" w:rsidTr="00B7012E">
        <w:trPr>
          <w:trHeight w:val="415"/>
        </w:trPr>
        <w:tc>
          <w:tcPr>
            <w:tcW w:w="35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0CDE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967E29">
              <w:rPr>
                <w:rFonts w:ascii="Calibri" w:eastAsia="Calibri" w:hAnsi="Calibri" w:cs="Calibri"/>
              </w:rPr>
              <w:t>Laboratoř sama doplní FT4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6295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  <w:color w:val="00B050"/>
              </w:rPr>
            </w:pPr>
            <w:r w:rsidRPr="00967E29">
              <w:rPr>
                <w:rFonts w:ascii="Calibri" w:eastAsia="Calibri" w:hAnsi="Calibri" w:cs="Calibri"/>
                <w:b/>
                <w:bCs/>
                <w:color w:val="00B050"/>
              </w:rPr>
              <w:t>Negativní výsledek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E855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967E29">
              <w:rPr>
                <w:rFonts w:ascii="Calibri" w:eastAsia="Calibri" w:hAnsi="Calibri" w:cs="Calibri"/>
                <w:b/>
                <w:bCs/>
                <w:color w:val="FF0000"/>
              </w:rPr>
              <w:t>Pozitivní výsledek (HYPOTYREÓZA)</w:t>
            </w:r>
          </w:p>
        </w:tc>
        <w:tc>
          <w:tcPr>
            <w:tcW w:w="6" w:type="dxa"/>
            <w:vAlign w:val="center"/>
            <w:hideMark/>
          </w:tcPr>
          <w:p w14:paraId="241F0EF9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</w:tr>
      <w:tr w:rsidR="0003218A" w:rsidRPr="00967E29" w14:paraId="79B6FD21" w14:textId="77777777" w:rsidTr="00B7012E">
        <w:trPr>
          <w:trHeight w:val="415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84CD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967E29">
              <w:rPr>
                <w:rFonts w:ascii="Calibri" w:eastAsia="Calibri" w:hAnsi="Calibri" w:cs="Calibri"/>
              </w:rPr>
              <w:t>FT4 zvýšený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81AB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67E29">
              <w:rPr>
                <w:rFonts w:ascii="Calibri" w:eastAsia="Calibri" w:hAnsi="Calibri" w:cs="Calibri"/>
              </w:rPr>
              <w:t>FT4 normální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E44C1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  <w:b/>
                <w:bCs/>
                <w:color w:val="00B050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6C77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</w:rPr>
              <w:t xml:space="preserve">Laboratoř sama doplní FT4 a </w:t>
            </w:r>
            <w:proofErr w:type="spellStart"/>
            <w:r w:rsidRPr="00967E29">
              <w:rPr>
                <w:rFonts w:ascii="Calibri" w:eastAsia="Calibri" w:hAnsi="Calibri" w:cs="Calibri"/>
              </w:rPr>
              <w:t>TPOAb</w:t>
            </w:r>
            <w:proofErr w:type="spellEnd"/>
          </w:p>
        </w:tc>
        <w:tc>
          <w:tcPr>
            <w:tcW w:w="6" w:type="dxa"/>
            <w:vAlign w:val="center"/>
            <w:hideMark/>
          </w:tcPr>
          <w:p w14:paraId="05FDEE98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003218A" w:rsidRPr="00967E29" w14:paraId="3992AF03" w14:textId="77777777" w:rsidTr="00B7012E">
        <w:trPr>
          <w:trHeight w:val="70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D8DD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967E29">
              <w:rPr>
                <w:rFonts w:ascii="Calibri" w:eastAsia="Calibri" w:hAnsi="Calibri" w:cs="Calibri"/>
                <w:b/>
                <w:bCs/>
                <w:color w:val="FF0000"/>
              </w:rPr>
              <w:t>Pozitivní výsledek (HYPERTYREÓZA)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9C7C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  <w:color w:val="00B050"/>
              </w:rPr>
            </w:pPr>
            <w:r w:rsidRPr="00967E29">
              <w:rPr>
                <w:rFonts w:ascii="Calibri" w:eastAsia="Calibri" w:hAnsi="Calibri" w:cs="Calibri"/>
                <w:b/>
                <w:bCs/>
                <w:color w:val="00B050"/>
              </w:rPr>
              <w:t>Negativní výsledek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D00D1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  <w:b/>
                <w:bCs/>
                <w:color w:val="00B050"/>
              </w:rPr>
            </w:pP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F525" w14:textId="1226AC49" w:rsidR="0003218A" w:rsidRDefault="0003218A" w:rsidP="006D27E1">
            <w:pPr>
              <w:spacing w:before="0" w:after="0"/>
              <w:ind w:left="272" w:hanging="272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967E29">
              <w:rPr>
                <w:rFonts w:ascii="Calibri" w:eastAsia="Calibri" w:hAnsi="Calibri" w:cs="Calibri"/>
                <w:u w:val="single"/>
              </w:rPr>
              <w:t>TSH &lt;</w:t>
            </w:r>
            <w:r w:rsidR="00992D1B">
              <w:rPr>
                <w:rFonts w:ascii="Calibri" w:eastAsia="Calibri" w:hAnsi="Calibri" w:cs="Calibri"/>
                <w:u w:val="single"/>
              </w:rPr>
              <w:t>6</w:t>
            </w:r>
            <w:r w:rsidRPr="00967E29">
              <w:rPr>
                <w:rFonts w:ascii="Calibri" w:eastAsia="Calibri" w:hAnsi="Calibri" w:cs="Calibri"/>
                <w:u w:val="single"/>
              </w:rPr>
              <w:t xml:space="preserve"> a normální FT4:</w:t>
            </w:r>
            <w:r w:rsidRPr="00967E29"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br/>
            </w:r>
            <w:r w:rsidR="00EB3D9E">
              <w:rPr>
                <w:rFonts w:ascii="Calibri" w:eastAsia="Calibri" w:hAnsi="Calibri" w:cs="Calibri"/>
                <w:b/>
                <w:bCs/>
              </w:rPr>
              <w:t xml:space="preserve">- </w:t>
            </w:r>
            <w:proofErr w:type="spellStart"/>
            <w:r w:rsidRPr="00967E29">
              <w:rPr>
                <w:rFonts w:ascii="Calibri" w:eastAsia="Calibri" w:hAnsi="Calibri" w:cs="Calibri"/>
                <w:b/>
                <w:bCs/>
              </w:rPr>
              <w:t>levotyroxin</w:t>
            </w:r>
            <w:proofErr w:type="spellEnd"/>
            <w:r w:rsidRPr="00967E29">
              <w:rPr>
                <w:rFonts w:ascii="Calibri" w:eastAsia="Calibri" w:hAnsi="Calibri" w:cs="Calibri"/>
                <w:b/>
                <w:bCs/>
              </w:rPr>
              <w:t xml:space="preserve"> 50 </w:t>
            </w:r>
            <w:r>
              <w:rPr>
                <w:rFonts w:ascii="Calibri" w:eastAsia="Calibri" w:hAnsi="Calibri" w:cs="Calibri"/>
                <w:b/>
                <w:bCs/>
              </w:rPr>
              <w:t>µg</w:t>
            </w:r>
            <w:r w:rsidRPr="00967E29">
              <w:rPr>
                <w:rFonts w:ascii="Calibri" w:eastAsia="Calibri" w:hAnsi="Calibri" w:cs="Calibri"/>
                <w:b/>
                <w:bCs/>
              </w:rPr>
              <w:t xml:space="preserve"> denně</w:t>
            </w:r>
          </w:p>
          <w:p w14:paraId="0C93E5A9" w14:textId="1AC78C9C" w:rsidR="00C6134C" w:rsidRPr="00EB3D9E" w:rsidRDefault="00EB3D9E" w:rsidP="006D27E1">
            <w:pPr>
              <w:spacing w:before="0" w:after="0"/>
              <w:ind w:left="284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13637E">
              <w:rPr>
                <w:rFonts w:ascii="Calibri" w:eastAsia="Calibri" w:hAnsi="Calibri" w:cs="Calibri"/>
                <w:b/>
                <w:bCs/>
              </w:rPr>
              <w:t xml:space="preserve">- </w:t>
            </w:r>
            <w:r w:rsidR="00C6134C" w:rsidRPr="0013637E">
              <w:rPr>
                <w:rFonts w:ascii="Calibri" w:eastAsia="Calibri" w:hAnsi="Calibri" w:cs="Calibri"/>
                <w:b/>
                <w:bCs/>
              </w:rPr>
              <w:t xml:space="preserve">jsou-li </w:t>
            </w:r>
            <w:r w:rsidRPr="0013637E">
              <w:rPr>
                <w:rFonts w:ascii="Calibri" w:eastAsia="Calibri" w:hAnsi="Calibri" w:cs="Calibri"/>
                <w:b/>
                <w:bCs/>
              </w:rPr>
              <w:t>n</w:t>
            </w:r>
            <w:r w:rsidR="00C6134C" w:rsidRPr="0013637E">
              <w:rPr>
                <w:rFonts w:ascii="Calibri" w:eastAsia="Calibri" w:hAnsi="Calibri" w:cs="Calibri"/>
                <w:b/>
                <w:bCs/>
              </w:rPr>
              <w:t xml:space="preserve">egativní </w:t>
            </w:r>
            <w:proofErr w:type="spellStart"/>
            <w:r w:rsidR="00C6134C" w:rsidRPr="0013637E">
              <w:rPr>
                <w:rFonts w:ascii="Calibri" w:eastAsia="Calibri" w:hAnsi="Calibri" w:cs="Calibri"/>
                <w:b/>
                <w:bCs/>
              </w:rPr>
              <w:t>TPOAb</w:t>
            </w:r>
            <w:proofErr w:type="spellEnd"/>
            <w:r w:rsidRPr="0013637E">
              <w:rPr>
                <w:rFonts w:ascii="Calibri" w:eastAsia="Calibri" w:hAnsi="Calibri" w:cs="Calibri"/>
                <w:b/>
                <w:bCs/>
              </w:rPr>
              <w:t>, lze zvážit jen</w:t>
            </w:r>
            <w:r w:rsidR="00C6134C" w:rsidRPr="0013637E">
              <w:rPr>
                <w:rFonts w:ascii="Calibri" w:eastAsia="Calibri" w:hAnsi="Calibri" w:cs="Calibri"/>
                <w:b/>
                <w:bCs/>
              </w:rPr>
              <w:t xml:space="preserve"> suplement</w:t>
            </w:r>
            <w:r w:rsidRPr="0013637E">
              <w:rPr>
                <w:rFonts w:ascii="Calibri" w:eastAsia="Calibri" w:hAnsi="Calibri" w:cs="Calibri"/>
                <w:b/>
                <w:bCs/>
              </w:rPr>
              <w:t>aci</w:t>
            </w:r>
            <w:r w:rsidR="00C6134C" w:rsidRPr="0013637E">
              <w:rPr>
                <w:rFonts w:ascii="Calibri" w:eastAsia="Calibri" w:hAnsi="Calibri" w:cs="Calibri"/>
                <w:b/>
                <w:bCs/>
              </w:rPr>
              <w:t xml:space="preserve"> jod</w:t>
            </w:r>
            <w:r w:rsidRPr="0013637E">
              <w:rPr>
                <w:rFonts w:ascii="Calibri" w:eastAsia="Calibri" w:hAnsi="Calibri" w:cs="Calibri"/>
                <w:b/>
                <w:bCs/>
              </w:rPr>
              <w:t xml:space="preserve">em bez </w:t>
            </w:r>
            <w:proofErr w:type="spellStart"/>
            <w:r w:rsidRPr="0013637E">
              <w:rPr>
                <w:rFonts w:ascii="Calibri" w:eastAsia="Calibri" w:hAnsi="Calibri" w:cs="Calibri"/>
                <w:b/>
                <w:bCs/>
              </w:rPr>
              <w:t>levotyroxinu</w:t>
            </w:r>
            <w:proofErr w:type="spellEnd"/>
            <w:r w:rsidRPr="0013637E">
              <w:rPr>
                <w:rFonts w:ascii="Calibri" w:eastAsia="Calibri" w:hAnsi="Calibri" w:cs="Calibri"/>
                <w:b/>
                <w:bCs/>
              </w:rPr>
              <w:t>, a</w:t>
            </w:r>
            <w:r w:rsidR="00C6134C" w:rsidRPr="0013637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13637E">
              <w:rPr>
                <w:rFonts w:ascii="Calibri" w:eastAsia="Calibri" w:hAnsi="Calibri" w:cs="Calibri"/>
                <w:b/>
                <w:bCs/>
              </w:rPr>
              <w:t>časnou</w:t>
            </w:r>
            <w:r w:rsidR="00C6134C" w:rsidRPr="0013637E">
              <w:rPr>
                <w:rFonts w:ascii="Calibri" w:eastAsia="Calibri" w:hAnsi="Calibri" w:cs="Calibri"/>
                <w:b/>
                <w:bCs/>
              </w:rPr>
              <w:t xml:space="preserve"> laboratorní kontrol</w:t>
            </w:r>
            <w:r w:rsidRPr="0013637E">
              <w:rPr>
                <w:rFonts w:ascii="Calibri" w:eastAsia="Calibri" w:hAnsi="Calibri" w:cs="Calibri"/>
                <w:b/>
                <w:bCs/>
              </w:rPr>
              <w:t>u</w:t>
            </w:r>
            <w:r w:rsidR="00C6134C" w:rsidRPr="0013637E">
              <w:rPr>
                <w:rFonts w:ascii="Calibri" w:eastAsia="Calibri" w:hAnsi="Calibri" w:cs="Calibri"/>
                <w:b/>
                <w:bCs/>
              </w:rPr>
              <w:t xml:space="preserve"> během 2 týdnů</w:t>
            </w:r>
            <w:r w:rsidR="00C6134C" w:rsidRPr="0013637E">
              <w:rPr>
                <w:rFonts w:ascii="Calibri" w:eastAsia="Calibri" w:hAnsi="Calibri" w:cs="Calibri"/>
                <w:vertAlign w:val="superscript"/>
              </w:rPr>
              <w:t>2</w:t>
            </w:r>
          </w:p>
          <w:p w14:paraId="100D4E28" w14:textId="177F3DDD" w:rsidR="0003218A" w:rsidRPr="00967E29" w:rsidRDefault="0003218A" w:rsidP="006D27E1">
            <w:pPr>
              <w:spacing w:before="0" w:after="0"/>
              <w:ind w:left="272" w:hanging="272"/>
              <w:jc w:val="left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  <w:u w:val="single"/>
              </w:rPr>
              <w:t>TSH &lt;</w:t>
            </w:r>
            <w:r w:rsidR="00992D1B">
              <w:rPr>
                <w:rFonts w:ascii="Calibri" w:eastAsia="Calibri" w:hAnsi="Calibri" w:cs="Calibri"/>
                <w:u w:val="single"/>
              </w:rPr>
              <w:t>6</w:t>
            </w:r>
            <w:r w:rsidRPr="00967E29">
              <w:rPr>
                <w:rFonts w:ascii="Calibri" w:eastAsia="Calibri" w:hAnsi="Calibri" w:cs="Calibri"/>
                <w:u w:val="single"/>
              </w:rPr>
              <w:t xml:space="preserve"> a snížený FT4:</w:t>
            </w:r>
            <w:r w:rsidRPr="00967E29"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 w:rsidRPr="00967E29">
              <w:rPr>
                <w:rFonts w:ascii="Calibri" w:eastAsia="Calibri" w:hAnsi="Calibri" w:cs="Calibri"/>
                <w:b/>
                <w:bCs/>
              </w:rPr>
              <w:t>levotyroxin</w:t>
            </w:r>
            <w:proofErr w:type="spellEnd"/>
            <w:r w:rsidRPr="00967E29">
              <w:rPr>
                <w:rFonts w:ascii="Calibri" w:eastAsia="Calibri" w:hAnsi="Calibri" w:cs="Calibri"/>
                <w:b/>
                <w:bCs/>
              </w:rPr>
              <w:t xml:space="preserve"> 75 </w:t>
            </w:r>
            <w:r>
              <w:rPr>
                <w:rFonts w:ascii="Calibri" w:eastAsia="Calibri" w:hAnsi="Calibri" w:cs="Calibri"/>
                <w:b/>
                <w:bCs/>
              </w:rPr>
              <w:t>µg</w:t>
            </w:r>
            <w:r w:rsidRPr="00967E29">
              <w:rPr>
                <w:rFonts w:ascii="Calibri" w:eastAsia="Calibri" w:hAnsi="Calibri" w:cs="Calibri"/>
                <w:b/>
                <w:bCs/>
              </w:rPr>
              <w:t xml:space="preserve"> denně</w:t>
            </w:r>
          </w:p>
          <w:p w14:paraId="697C1EF7" w14:textId="2CBC6869" w:rsidR="0003218A" w:rsidRPr="00967E29" w:rsidRDefault="0003218A" w:rsidP="006D27E1">
            <w:pPr>
              <w:spacing w:before="0" w:after="0"/>
              <w:ind w:left="272" w:hanging="272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967E29">
              <w:rPr>
                <w:rFonts w:ascii="Calibri" w:eastAsia="Calibri" w:hAnsi="Calibri" w:cs="Calibri"/>
                <w:u w:val="single"/>
              </w:rPr>
              <w:t xml:space="preserve">TSH </w:t>
            </w:r>
            <w:r w:rsidR="00992D1B">
              <w:rPr>
                <w:rFonts w:ascii="Calibri" w:eastAsia="Calibri" w:hAnsi="Calibri" w:cs="Calibri"/>
                <w:u w:val="single"/>
              </w:rPr>
              <w:t>6</w:t>
            </w:r>
            <w:r w:rsidRPr="00967E29">
              <w:rPr>
                <w:rFonts w:ascii="Calibri" w:eastAsia="Calibri" w:hAnsi="Calibri" w:cs="Calibri"/>
                <w:u w:val="single"/>
              </w:rPr>
              <w:t>-10 a normální FT4:</w:t>
            </w:r>
            <w:r w:rsidRPr="00967E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67E29">
              <w:rPr>
                <w:rFonts w:ascii="Calibri" w:eastAsia="Calibri" w:hAnsi="Calibri" w:cs="Calibri"/>
                <w:b/>
                <w:bCs/>
              </w:rPr>
              <w:t>levotyroxin</w:t>
            </w:r>
            <w:proofErr w:type="spellEnd"/>
            <w:r w:rsidRPr="00967E29">
              <w:rPr>
                <w:rFonts w:ascii="Calibri" w:eastAsia="Calibri" w:hAnsi="Calibri" w:cs="Calibri"/>
                <w:b/>
                <w:bCs/>
              </w:rPr>
              <w:t xml:space="preserve"> 75 </w:t>
            </w:r>
            <w:r>
              <w:rPr>
                <w:rFonts w:ascii="Calibri" w:eastAsia="Calibri" w:hAnsi="Calibri" w:cs="Calibri"/>
                <w:b/>
                <w:bCs/>
              </w:rPr>
              <w:t>µg</w:t>
            </w:r>
            <w:r w:rsidRPr="00967E29">
              <w:rPr>
                <w:rFonts w:ascii="Calibri" w:eastAsia="Calibri" w:hAnsi="Calibri" w:cs="Calibri"/>
                <w:b/>
                <w:bCs/>
              </w:rPr>
              <w:t xml:space="preserve"> denně</w:t>
            </w:r>
          </w:p>
          <w:p w14:paraId="59BCE0C6" w14:textId="02AAA6C2" w:rsidR="0003218A" w:rsidRPr="00967E29" w:rsidRDefault="0003218A" w:rsidP="006D27E1">
            <w:pPr>
              <w:spacing w:before="0" w:after="0"/>
              <w:ind w:left="272" w:hanging="272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967E29">
              <w:rPr>
                <w:rFonts w:ascii="Calibri" w:eastAsia="Calibri" w:hAnsi="Calibri" w:cs="Calibri"/>
                <w:u w:val="single"/>
              </w:rPr>
              <w:t xml:space="preserve">TSH </w:t>
            </w:r>
            <w:r w:rsidR="00992D1B">
              <w:rPr>
                <w:rFonts w:ascii="Calibri" w:eastAsia="Calibri" w:hAnsi="Calibri" w:cs="Calibri"/>
                <w:u w:val="single"/>
              </w:rPr>
              <w:t>6</w:t>
            </w:r>
            <w:r w:rsidRPr="00967E29">
              <w:rPr>
                <w:rFonts w:ascii="Calibri" w:eastAsia="Calibri" w:hAnsi="Calibri" w:cs="Calibri"/>
                <w:u w:val="single"/>
              </w:rPr>
              <w:t>-10 a snížený FT4:</w:t>
            </w:r>
            <w:r w:rsidRPr="00967E2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 w:rsidRPr="00967E29">
              <w:rPr>
                <w:rFonts w:ascii="Calibri" w:eastAsia="Calibri" w:hAnsi="Calibri" w:cs="Calibri"/>
                <w:b/>
                <w:bCs/>
              </w:rPr>
              <w:t>levotyroxin</w:t>
            </w:r>
            <w:proofErr w:type="spellEnd"/>
            <w:r w:rsidRPr="00967E29">
              <w:rPr>
                <w:rFonts w:ascii="Calibri" w:eastAsia="Calibri" w:hAnsi="Calibri" w:cs="Calibri"/>
                <w:b/>
                <w:bCs/>
              </w:rPr>
              <w:t xml:space="preserve"> 100 </w:t>
            </w:r>
            <w:r>
              <w:rPr>
                <w:rFonts w:ascii="Calibri" w:eastAsia="Calibri" w:hAnsi="Calibri" w:cs="Calibri"/>
                <w:b/>
                <w:bCs/>
              </w:rPr>
              <w:t>µg</w:t>
            </w:r>
            <w:r w:rsidRPr="00967E29">
              <w:rPr>
                <w:rFonts w:ascii="Calibri" w:eastAsia="Calibri" w:hAnsi="Calibri" w:cs="Calibri"/>
                <w:b/>
                <w:bCs/>
              </w:rPr>
              <w:t xml:space="preserve"> denně</w:t>
            </w:r>
          </w:p>
          <w:p w14:paraId="3E07DF53" w14:textId="7469EDBF" w:rsidR="0003218A" w:rsidRPr="00967E29" w:rsidRDefault="0003218A" w:rsidP="006D27E1">
            <w:pPr>
              <w:spacing w:before="0" w:after="0"/>
              <w:ind w:left="272" w:hanging="272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967E29">
              <w:rPr>
                <w:rFonts w:ascii="Calibri" w:eastAsia="Calibri" w:hAnsi="Calibri" w:cs="Calibri"/>
                <w:u w:val="single"/>
              </w:rPr>
              <w:t>TSH &gt;10 a normální</w:t>
            </w:r>
            <w:r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967E29">
              <w:rPr>
                <w:rFonts w:ascii="Calibri" w:eastAsia="Calibri" w:hAnsi="Calibri" w:cs="Calibri"/>
                <w:u w:val="single"/>
              </w:rPr>
              <w:t>FT4:</w:t>
            </w:r>
            <w:r w:rsidRPr="00967E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67E29">
              <w:rPr>
                <w:rFonts w:ascii="Calibri" w:eastAsia="Calibri" w:hAnsi="Calibri" w:cs="Calibri"/>
                <w:b/>
                <w:bCs/>
              </w:rPr>
              <w:t>levotyroxin</w:t>
            </w:r>
            <w:proofErr w:type="spellEnd"/>
            <w:r w:rsidRPr="00967E29">
              <w:rPr>
                <w:rFonts w:ascii="Calibri" w:eastAsia="Calibri" w:hAnsi="Calibri" w:cs="Calibri"/>
                <w:b/>
                <w:bCs/>
              </w:rPr>
              <w:t xml:space="preserve"> 125 </w:t>
            </w:r>
            <w:r>
              <w:rPr>
                <w:rFonts w:ascii="Calibri" w:eastAsia="Calibri" w:hAnsi="Calibri" w:cs="Calibri"/>
                <w:b/>
                <w:bCs/>
              </w:rPr>
              <w:t>µg</w:t>
            </w:r>
            <w:r w:rsidRPr="00967E29">
              <w:rPr>
                <w:rFonts w:ascii="Calibri" w:eastAsia="Calibri" w:hAnsi="Calibri" w:cs="Calibri"/>
                <w:b/>
                <w:bCs/>
              </w:rPr>
              <w:t xml:space="preserve"> denně</w:t>
            </w:r>
          </w:p>
          <w:p w14:paraId="4F0F535C" w14:textId="1ED2B79E" w:rsidR="0003218A" w:rsidRPr="00967E29" w:rsidRDefault="0003218A" w:rsidP="006D27E1">
            <w:pPr>
              <w:spacing w:before="0" w:after="0"/>
              <w:ind w:left="272" w:hanging="272"/>
              <w:jc w:val="left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  <w:u w:val="single"/>
              </w:rPr>
              <w:t>TSH &gt;10 a snížený FT4:</w:t>
            </w:r>
            <w:r w:rsidRPr="00967E2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 w:rsidRPr="00967E29">
              <w:rPr>
                <w:rFonts w:ascii="Calibri" w:eastAsia="Calibri" w:hAnsi="Calibri" w:cs="Calibri"/>
                <w:b/>
                <w:bCs/>
              </w:rPr>
              <w:t>levotyroxin</w:t>
            </w:r>
            <w:proofErr w:type="spellEnd"/>
            <w:r w:rsidRPr="00967E29">
              <w:rPr>
                <w:rFonts w:ascii="Calibri" w:eastAsia="Calibri" w:hAnsi="Calibri" w:cs="Calibri"/>
                <w:b/>
                <w:bCs/>
              </w:rPr>
              <w:t xml:space="preserve"> 150 </w:t>
            </w:r>
            <w:r>
              <w:rPr>
                <w:rFonts w:ascii="Calibri" w:eastAsia="Calibri" w:hAnsi="Calibri" w:cs="Calibri"/>
                <w:b/>
                <w:bCs/>
              </w:rPr>
              <w:t>µg</w:t>
            </w:r>
            <w:r w:rsidRPr="00967E29">
              <w:rPr>
                <w:rFonts w:ascii="Calibri" w:eastAsia="Calibri" w:hAnsi="Calibri" w:cs="Calibri"/>
                <w:b/>
                <w:bCs/>
              </w:rPr>
              <w:t xml:space="preserve"> denně</w:t>
            </w:r>
          </w:p>
        </w:tc>
        <w:tc>
          <w:tcPr>
            <w:tcW w:w="6" w:type="dxa"/>
            <w:vAlign w:val="center"/>
            <w:hideMark/>
          </w:tcPr>
          <w:p w14:paraId="19FDD2F5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003218A" w:rsidRPr="00967E29" w14:paraId="1B0D36E0" w14:textId="77777777" w:rsidTr="00B7012E">
        <w:trPr>
          <w:trHeight w:val="450"/>
        </w:trPr>
        <w:tc>
          <w:tcPr>
            <w:tcW w:w="19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0CDCC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  <w:b/>
                <w:bCs/>
                <w:color w:val="00B0F0"/>
              </w:rPr>
            </w:pPr>
            <w:r w:rsidRPr="00967E29">
              <w:rPr>
                <w:rFonts w:ascii="Calibri" w:eastAsia="Calibri" w:hAnsi="Calibri" w:cs="Calibri"/>
              </w:rPr>
              <w:t xml:space="preserve">Laboratoř sama doplní FT3, </w:t>
            </w:r>
            <w:proofErr w:type="spellStart"/>
            <w:r w:rsidRPr="00967E29">
              <w:rPr>
                <w:rFonts w:ascii="Calibri" w:eastAsia="Calibri" w:hAnsi="Calibri" w:cs="Calibri"/>
              </w:rPr>
              <w:t>TPOAb</w:t>
            </w:r>
            <w:proofErr w:type="spellEnd"/>
            <w:r w:rsidRPr="00967E29">
              <w:rPr>
                <w:rFonts w:ascii="Calibri" w:eastAsia="Calibri" w:hAnsi="Calibri" w:cs="Calibri"/>
              </w:rPr>
              <w:t xml:space="preserve"> a TRAK</w:t>
            </w:r>
          </w:p>
        </w:tc>
        <w:tc>
          <w:tcPr>
            <w:tcW w:w="36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DE6D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 w:rsidRPr="00967E29">
              <w:rPr>
                <w:rFonts w:ascii="Calibri" w:eastAsia="Calibri" w:hAnsi="Calibri" w:cs="Calibri"/>
              </w:rPr>
              <w:t xml:space="preserve">Potravinové doplňky/vitaminy pro těhotné ženy s obsahem jodu 150-200 </w:t>
            </w:r>
            <w:r>
              <w:rPr>
                <w:rFonts w:ascii="Calibri" w:eastAsia="Calibri" w:hAnsi="Calibri" w:cs="Calibri"/>
              </w:rPr>
              <w:t>µg</w:t>
            </w:r>
            <w:r w:rsidRPr="00967E29">
              <w:rPr>
                <w:rFonts w:ascii="Calibri" w:eastAsia="Calibri" w:hAnsi="Calibri" w:cs="Calibri"/>
              </w:rPr>
              <w:t xml:space="preserve"> v denní dávce</w:t>
            </w:r>
          </w:p>
          <w:p w14:paraId="27A8FB34" w14:textId="7B6628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 w:rsidRPr="001656E2">
              <w:rPr>
                <w:rFonts w:ascii="Calibri" w:eastAsia="Calibri" w:hAnsi="Calibri" w:cs="Calibri"/>
              </w:rPr>
              <w:t>(</w:t>
            </w:r>
            <w:r w:rsidR="005210F9" w:rsidRPr="001656E2">
              <w:rPr>
                <w:rFonts w:ascii="Calibri" w:eastAsia="Calibri" w:hAnsi="Calibri" w:cs="Calibri"/>
              </w:rPr>
              <w:t>doporučí</w:t>
            </w:r>
            <w:r w:rsidRPr="001656E2">
              <w:rPr>
                <w:rFonts w:ascii="Calibri" w:eastAsia="Calibri" w:hAnsi="Calibri" w:cs="Calibri"/>
              </w:rPr>
              <w:t xml:space="preserve"> gynekolog)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9BA42" w14:textId="77777777" w:rsidR="0003218A" w:rsidRPr="00967E29" w:rsidRDefault="0003218A" w:rsidP="006D27E1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14:paraId="282B2A94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003218A" w:rsidRPr="00967E29" w14:paraId="2B3361A4" w14:textId="77777777" w:rsidTr="00B7012E">
        <w:trPr>
          <w:trHeight w:val="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EF14F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  <w:b/>
                <w:bCs/>
                <w:color w:val="00B0F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5DE9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70EF" w14:textId="3D43571D" w:rsidR="0003218A" w:rsidRPr="00967E29" w:rsidRDefault="00C6134C" w:rsidP="006D27E1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Vždy p</w:t>
            </w:r>
            <w:r w:rsidR="0003218A" w:rsidRPr="00967E29">
              <w:rPr>
                <w:rFonts w:ascii="Calibri" w:eastAsia="Calibri" w:hAnsi="Calibri" w:cs="Calibri"/>
              </w:rPr>
              <w:t xml:space="preserve">otravinové doplňky/vitaminy pro těhotné ženy s obsahem jodu 150-200 </w:t>
            </w:r>
            <w:r w:rsidR="0003218A">
              <w:rPr>
                <w:rFonts w:ascii="Calibri" w:eastAsia="Calibri" w:hAnsi="Calibri" w:cs="Calibri"/>
              </w:rPr>
              <w:t>µg</w:t>
            </w:r>
            <w:r w:rsidR="0003218A" w:rsidRPr="00967E29">
              <w:rPr>
                <w:rFonts w:ascii="Calibri" w:eastAsia="Calibri" w:hAnsi="Calibri" w:cs="Calibri"/>
              </w:rPr>
              <w:t xml:space="preserve"> v denní dávce</w:t>
            </w:r>
          </w:p>
          <w:p w14:paraId="1E9870FF" w14:textId="0FF8DC63" w:rsidR="0003218A" w:rsidRPr="00967E29" w:rsidRDefault="0003218A" w:rsidP="006D27E1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 w:rsidRPr="001656E2">
              <w:rPr>
                <w:rFonts w:ascii="Calibri" w:eastAsia="Calibri" w:hAnsi="Calibri" w:cs="Calibri"/>
              </w:rPr>
              <w:t>(</w:t>
            </w:r>
            <w:r w:rsidR="00FE4E85" w:rsidRPr="001656E2">
              <w:rPr>
                <w:rFonts w:ascii="Calibri" w:eastAsia="Calibri" w:hAnsi="Calibri" w:cs="Calibri"/>
              </w:rPr>
              <w:t xml:space="preserve">může </w:t>
            </w:r>
            <w:r w:rsidRPr="001656E2">
              <w:rPr>
                <w:rFonts w:ascii="Calibri" w:eastAsia="Calibri" w:hAnsi="Calibri" w:cs="Calibri"/>
              </w:rPr>
              <w:t>zaháj</w:t>
            </w:r>
            <w:r w:rsidR="00FE4E85" w:rsidRPr="001656E2">
              <w:rPr>
                <w:rFonts w:ascii="Calibri" w:eastAsia="Calibri" w:hAnsi="Calibri" w:cs="Calibri"/>
              </w:rPr>
              <w:t>it</w:t>
            </w:r>
            <w:r w:rsidRPr="001656E2">
              <w:rPr>
                <w:rFonts w:ascii="Calibri" w:eastAsia="Calibri" w:hAnsi="Calibri" w:cs="Calibri"/>
              </w:rPr>
              <w:t xml:space="preserve"> </w:t>
            </w:r>
            <w:r w:rsidR="005210F9" w:rsidRPr="001656E2">
              <w:rPr>
                <w:rFonts w:ascii="Calibri" w:eastAsia="Calibri" w:hAnsi="Calibri" w:cs="Calibri"/>
              </w:rPr>
              <w:t xml:space="preserve">již </w:t>
            </w:r>
            <w:r w:rsidRPr="001656E2">
              <w:rPr>
                <w:rFonts w:ascii="Calibri" w:eastAsia="Calibri" w:hAnsi="Calibri" w:cs="Calibri"/>
              </w:rPr>
              <w:t>gynekolog)</w:t>
            </w:r>
          </w:p>
        </w:tc>
        <w:tc>
          <w:tcPr>
            <w:tcW w:w="6" w:type="dxa"/>
            <w:vAlign w:val="center"/>
            <w:hideMark/>
          </w:tcPr>
          <w:p w14:paraId="593396F7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003218A" w:rsidRPr="00967E29" w14:paraId="274AF260" w14:textId="77777777" w:rsidTr="00B7012E">
        <w:trPr>
          <w:trHeight w:val="60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5973C" w14:textId="77777777" w:rsidR="0003218A" w:rsidRPr="00967E29" w:rsidRDefault="0003218A" w:rsidP="00B7012E">
            <w:pPr>
              <w:spacing w:before="0" w:after="0" w:line="252" w:lineRule="auto"/>
              <w:jc w:val="center"/>
              <w:rPr>
                <w:rFonts w:ascii="Calibri" w:eastAsia="Calibri" w:hAnsi="Calibri" w:cs="Calibri"/>
                <w:b/>
                <w:bCs/>
                <w:color w:val="00B0F0"/>
              </w:rPr>
            </w:pPr>
            <w:r w:rsidRPr="008B16E9">
              <w:rPr>
                <w:rFonts w:ascii="Calibri" w:eastAsia="Calibri" w:hAnsi="Calibri" w:cs="Calibri"/>
                <w:b/>
                <w:bCs/>
                <w:color w:val="0070C0"/>
              </w:rPr>
              <w:t>Návštěva/konzultace pracoviště s odborností Endokrinologie do 3 týdnů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BDA7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7607" w14:textId="77777777" w:rsidR="0003218A" w:rsidRPr="00967E29" w:rsidRDefault="0003218A" w:rsidP="00B7012E">
            <w:pPr>
              <w:spacing w:before="0" w:after="0"/>
              <w:jc w:val="center"/>
              <w:rPr>
                <w:rFonts w:ascii="Calibri" w:eastAsia="Calibri" w:hAnsi="Calibri" w:cs="Calibri"/>
              </w:rPr>
            </w:pPr>
            <w:r w:rsidRPr="008B16E9">
              <w:rPr>
                <w:rFonts w:ascii="Calibri" w:eastAsia="Calibri" w:hAnsi="Calibri" w:cs="Calibri"/>
                <w:b/>
                <w:bCs/>
                <w:color w:val="0070C0"/>
              </w:rPr>
              <w:t>Návštěva/konzultace pracoviště s odborností Endokrinologie nebo Diabetologie do 3 týdnů</w:t>
            </w:r>
          </w:p>
        </w:tc>
        <w:tc>
          <w:tcPr>
            <w:tcW w:w="6" w:type="dxa"/>
            <w:vAlign w:val="center"/>
            <w:hideMark/>
          </w:tcPr>
          <w:p w14:paraId="1343B387" w14:textId="77777777" w:rsidR="0003218A" w:rsidRPr="00967E29" w:rsidRDefault="0003218A" w:rsidP="00B7012E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</w:tbl>
    <w:p w14:paraId="36CBF72B" w14:textId="77777777" w:rsidR="00C5538B" w:rsidRDefault="00C5538B" w:rsidP="00C5538B"/>
    <w:p w14:paraId="4EB11D31" w14:textId="77777777" w:rsidR="0003218A" w:rsidRPr="002107A5" w:rsidRDefault="0003218A" w:rsidP="0003218A">
      <w:pPr>
        <w:spacing w:before="0" w:after="0"/>
        <w:rPr>
          <w:rFonts w:eastAsia="Calibri" w:cs="Calibri"/>
          <w:lang w:eastAsia="cs-CZ"/>
        </w:rPr>
      </w:pPr>
      <w:r w:rsidRPr="002107A5">
        <w:rPr>
          <w:rFonts w:eastAsia="Calibri" w:cs="Calibri"/>
          <w:lang w:eastAsia="cs-CZ"/>
        </w:rPr>
        <w:lastRenderedPageBreak/>
        <w:t>TSH: tyreoidální stimulační hormon</w:t>
      </w:r>
    </w:p>
    <w:p w14:paraId="7BB9CF9E" w14:textId="4CC5AF54" w:rsidR="0003218A" w:rsidRPr="002107A5" w:rsidRDefault="0003218A" w:rsidP="002107A5">
      <w:pPr>
        <w:tabs>
          <w:tab w:val="left" w:pos="5034"/>
        </w:tabs>
        <w:spacing w:before="0" w:after="0"/>
        <w:rPr>
          <w:rFonts w:eastAsia="Calibri" w:cs="Calibri"/>
          <w:lang w:eastAsia="cs-CZ"/>
        </w:rPr>
      </w:pPr>
      <w:r w:rsidRPr="002107A5">
        <w:rPr>
          <w:rFonts w:eastAsia="Calibri" w:cs="Calibri"/>
          <w:lang w:eastAsia="cs-CZ"/>
        </w:rPr>
        <w:t>FT4: volný tyroxin</w:t>
      </w:r>
      <w:r w:rsidR="002107A5">
        <w:rPr>
          <w:rFonts w:eastAsia="Calibri" w:cs="Calibri"/>
          <w:lang w:eastAsia="cs-CZ"/>
        </w:rPr>
        <w:tab/>
      </w:r>
    </w:p>
    <w:p w14:paraId="225ED30A" w14:textId="77777777" w:rsidR="0003218A" w:rsidRPr="002107A5" w:rsidRDefault="0003218A" w:rsidP="0003218A">
      <w:pPr>
        <w:spacing w:before="0" w:after="0"/>
        <w:rPr>
          <w:rFonts w:eastAsia="Calibri" w:cs="Calibri"/>
          <w:lang w:eastAsia="cs-CZ"/>
        </w:rPr>
      </w:pPr>
      <w:r w:rsidRPr="002107A5">
        <w:rPr>
          <w:rFonts w:eastAsia="Calibri" w:cs="Calibri"/>
          <w:lang w:eastAsia="cs-CZ"/>
        </w:rPr>
        <w:t xml:space="preserve">FT3: volný </w:t>
      </w:r>
      <w:proofErr w:type="spellStart"/>
      <w:r w:rsidRPr="002107A5">
        <w:rPr>
          <w:rFonts w:eastAsia="Calibri" w:cs="Calibri"/>
          <w:lang w:eastAsia="cs-CZ"/>
        </w:rPr>
        <w:t>trijodotyronin</w:t>
      </w:r>
      <w:proofErr w:type="spellEnd"/>
    </w:p>
    <w:p w14:paraId="2AD2FD2D" w14:textId="77777777" w:rsidR="0003218A" w:rsidRPr="002107A5" w:rsidRDefault="0003218A" w:rsidP="0003218A">
      <w:pPr>
        <w:spacing w:before="0" w:after="0"/>
        <w:rPr>
          <w:rFonts w:eastAsia="Calibri" w:cs="Calibri"/>
          <w:lang w:eastAsia="cs-CZ"/>
        </w:rPr>
      </w:pPr>
      <w:proofErr w:type="spellStart"/>
      <w:r w:rsidRPr="002107A5">
        <w:rPr>
          <w:rFonts w:eastAsia="Calibri" w:cs="Calibri"/>
          <w:lang w:eastAsia="cs-CZ"/>
        </w:rPr>
        <w:t>TPOAb</w:t>
      </w:r>
      <w:proofErr w:type="spellEnd"/>
      <w:r w:rsidRPr="002107A5">
        <w:rPr>
          <w:rFonts w:eastAsia="Calibri" w:cs="Calibri"/>
          <w:lang w:eastAsia="cs-CZ"/>
        </w:rPr>
        <w:t>: protilátky proti tyreoidální peroxidáze</w:t>
      </w:r>
    </w:p>
    <w:p w14:paraId="7B477951" w14:textId="77777777" w:rsidR="0003218A" w:rsidRPr="002107A5" w:rsidRDefault="0003218A" w:rsidP="0003218A">
      <w:pPr>
        <w:spacing w:before="0" w:after="0"/>
        <w:rPr>
          <w:rFonts w:eastAsia="Calibri" w:cs="Calibri"/>
          <w:lang w:eastAsia="cs-CZ"/>
        </w:rPr>
      </w:pPr>
      <w:r w:rsidRPr="002107A5">
        <w:rPr>
          <w:rFonts w:eastAsia="Calibri" w:cs="Calibri"/>
          <w:lang w:eastAsia="cs-CZ"/>
        </w:rPr>
        <w:t>TRAK: protilátky proti TSH receptoru</w:t>
      </w:r>
    </w:p>
    <w:p w14:paraId="00060DB1" w14:textId="77777777" w:rsidR="0003218A" w:rsidRPr="002107A5" w:rsidRDefault="0003218A" w:rsidP="0003218A">
      <w:pPr>
        <w:spacing w:before="0" w:after="0"/>
        <w:rPr>
          <w:rFonts w:eastAsia="Calibri" w:cs="Calibri"/>
          <w:lang w:eastAsia="cs-CZ"/>
        </w:rPr>
      </w:pPr>
      <w:r w:rsidRPr="002107A5">
        <w:rPr>
          <w:rFonts w:eastAsia="Calibri" w:cs="Calibri"/>
          <w:lang w:eastAsia="cs-CZ"/>
        </w:rPr>
        <w:t xml:space="preserve">LT4: </w:t>
      </w:r>
      <w:proofErr w:type="spellStart"/>
      <w:r w:rsidRPr="002107A5">
        <w:rPr>
          <w:rFonts w:eastAsia="Calibri" w:cs="Calibri"/>
          <w:lang w:eastAsia="cs-CZ"/>
        </w:rPr>
        <w:t>levotyroxin</w:t>
      </w:r>
      <w:proofErr w:type="spellEnd"/>
    </w:p>
    <w:p w14:paraId="0347FD1F" w14:textId="055CFC24" w:rsidR="0003218A" w:rsidRPr="002107A5" w:rsidRDefault="0003218A" w:rsidP="0003218A">
      <w:pPr>
        <w:spacing w:before="0" w:after="0"/>
        <w:rPr>
          <w:rFonts w:eastAsia="Calibri" w:cs="Calibri"/>
          <w:lang w:eastAsia="cs-CZ"/>
        </w:rPr>
      </w:pPr>
      <w:r w:rsidRPr="002107A5">
        <w:rPr>
          <w:rFonts w:eastAsia="Calibri" w:cs="Calibri"/>
          <w:lang w:eastAsia="cs-CZ"/>
        </w:rPr>
        <w:t>LLRR: dolní limit referenčního intervalu pro těhotné ženy v</w:t>
      </w:r>
      <w:r w:rsidR="003A6952">
        <w:rPr>
          <w:rFonts w:eastAsia="Calibri" w:cs="Calibri"/>
          <w:lang w:eastAsia="cs-CZ"/>
        </w:rPr>
        <w:t> I</w:t>
      </w:r>
      <w:r w:rsidRPr="002107A5">
        <w:rPr>
          <w:rFonts w:eastAsia="Calibri" w:cs="Calibri"/>
          <w:lang w:eastAsia="cs-CZ"/>
        </w:rPr>
        <w:t xml:space="preserve">. trimestru příslušné laboratorní metody </w:t>
      </w:r>
    </w:p>
    <w:p w14:paraId="7BC63C1E" w14:textId="3F2969BE" w:rsidR="0003218A" w:rsidRPr="002107A5" w:rsidRDefault="0003218A" w:rsidP="0003218A">
      <w:pPr>
        <w:spacing w:before="0" w:after="0"/>
        <w:rPr>
          <w:rFonts w:eastAsia="Calibri" w:cs="Calibri"/>
          <w:lang w:eastAsia="cs-CZ"/>
        </w:rPr>
      </w:pPr>
      <w:r w:rsidRPr="002107A5">
        <w:rPr>
          <w:rFonts w:eastAsia="Calibri" w:cs="Calibri"/>
          <w:lang w:eastAsia="cs-CZ"/>
        </w:rPr>
        <w:t>ULRR: horní limit referenčního intervalu pro těhotné ženy v</w:t>
      </w:r>
      <w:r w:rsidR="003A6952">
        <w:rPr>
          <w:rFonts w:eastAsia="Calibri" w:cs="Calibri"/>
          <w:lang w:eastAsia="cs-CZ"/>
        </w:rPr>
        <w:t> I</w:t>
      </w:r>
      <w:r w:rsidRPr="002107A5">
        <w:rPr>
          <w:rFonts w:eastAsia="Calibri" w:cs="Calibri"/>
          <w:lang w:eastAsia="cs-CZ"/>
        </w:rPr>
        <w:t xml:space="preserve">. trimestru příslušné laboratorní metody </w:t>
      </w:r>
    </w:p>
    <w:p w14:paraId="48A06B8B" w14:textId="77777777" w:rsidR="0003218A" w:rsidRPr="00A32E27" w:rsidRDefault="0003218A" w:rsidP="0003218A">
      <w:pPr>
        <w:pStyle w:val="Nadpis2"/>
      </w:pPr>
      <w:bookmarkStart w:id="18" w:name="_Toc188617810"/>
      <w:r w:rsidRPr="00F3028D">
        <w:t xml:space="preserve">Ambulantní </w:t>
      </w:r>
      <w:r>
        <w:t>gynekologové</w:t>
      </w:r>
      <w:bookmarkEnd w:id="18"/>
    </w:p>
    <w:p w14:paraId="14FA7298" w14:textId="52E958DD" w:rsidR="0003218A" w:rsidRDefault="0003218A" w:rsidP="0003218A">
      <w:r>
        <w:t xml:space="preserve">Ambulantní gynekolog u všech těhotných žen zhodnotí přítomnost rizikových faktorů, které jsou uvedeny v tabulce 1. Následně vysvětlí rizika spojená s neléčenými </w:t>
      </w:r>
      <w:proofErr w:type="spellStart"/>
      <w:r>
        <w:t>tyreopatiemi</w:t>
      </w:r>
      <w:proofErr w:type="spellEnd"/>
      <w:r>
        <w:t xml:space="preserve"> a podrobnosti prováděného vyšetření, zajistí odběr </w:t>
      </w:r>
      <w:r w:rsidRPr="007E185D">
        <w:t xml:space="preserve">žilní krve odebrané ráno nalačno, </w:t>
      </w:r>
      <w:r w:rsidRPr="006F02FB">
        <w:rPr>
          <w:b/>
          <w:bCs/>
        </w:rPr>
        <w:t>co nejdříve v prvním trimestru</w:t>
      </w:r>
      <w:r>
        <w:rPr>
          <w:b/>
          <w:bCs/>
        </w:rPr>
        <w:t>,</w:t>
      </w:r>
      <w:r w:rsidRPr="00CD1E7E">
        <w:t xml:space="preserve"> optimálně do 11. týdne, nejpozději však do 14. týdne těhotenství. </w:t>
      </w:r>
      <w:r w:rsidRPr="009D1475">
        <w:t xml:space="preserve">Dostaví-li se </w:t>
      </w:r>
      <w:r>
        <w:t xml:space="preserve">těhotná </w:t>
      </w:r>
      <w:r w:rsidRPr="009D1475">
        <w:t xml:space="preserve">žena k prvnímu vyšetření později, </w:t>
      </w:r>
      <w:r>
        <w:t>rozhodne</w:t>
      </w:r>
      <w:r w:rsidRPr="009D1475">
        <w:t xml:space="preserve"> </w:t>
      </w:r>
      <w:r>
        <w:t xml:space="preserve">o provedení </w:t>
      </w:r>
      <w:r w:rsidRPr="009D1475">
        <w:t>vyšetření</w:t>
      </w:r>
      <w:r>
        <w:t xml:space="preserve"> </w:t>
      </w:r>
      <w:r w:rsidRPr="009D1475">
        <w:t>gynekolog individuálně</w:t>
      </w:r>
      <w:r>
        <w:t>.</w:t>
      </w:r>
      <w:r w:rsidRPr="00F61E94">
        <w:t xml:space="preserve"> </w:t>
      </w:r>
      <w:r w:rsidR="0008287F">
        <w:t>Na žádanku uvádí, že žádá o flexní test v rámci vyšetření ženy v riziku v </w:t>
      </w:r>
      <w:r w:rsidR="00870024">
        <w:t>I</w:t>
      </w:r>
      <w:r w:rsidR="0008287F">
        <w:t>. trimestru těhotenství.</w:t>
      </w:r>
    </w:p>
    <w:p w14:paraId="670AEE95" w14:textId="2E569CB9" w:rsidR="0003218A" w:rsidRDefault="0003218A" w:rsidP="0003218A">
      <w:r>
        <w:t xml:space="preserve">V laboratoři </w:t>
      </w:r>
      <w:r w:rsidR="0008287F">
        <w:t xml:space="preserve">je </w:t>
      </w:r>
      <w:r>
        <w:t xml:space="preserve">proveden „flexní“ tyreoidální test a jeho vyhodnocení. Laboratoř </w:t>
      </w:r>
      <w:r w:rsidR="0008287F">
        <w:t xml:space="preserve">neprodleně informuje </w:t>
      </w:r>
      <w:r>
        <w:t>o</w:t>
      </w:r>
      <w:r w:rsidR="009618C1">
        <w:t> </w:t>
      </w:r>
      <w:r>
        <w:t>výsledku testu včetně doporučení dalšího postupu odesílající gynekologické pracoviště.</w:t>
      </w:r>
    </w:p>
    <w:p w14:paraId="296FC144" w14:textId="4C5064C6" w:rsidR="0003218A" w:rsidRDefault="0003218A" w:rsidP="0003218A">
      <w:bookmarkStart w:id="19" w:name="_Hlk138709242"/>
      <w:r>
        <w:t xml:space="preserve">Gynekolog informuje těhotnou ženu o výsledcích a doporučení dalšího postupu, který upravuje výše uvedený „flexní“ algoritmus </w:t>
      </w:r>
      <w:bookmarkEnd w:id="19"/>
      <w:r>
        <w:t xml:space="preserve">(Tabulka 2). </w:t>
      </w:r>
      <w:r w:rsidRPr="001656E2">
        <w:t xml:space="preserve">V případě </w:t>
      </w:r>
      <w:r w:rsidR="000E6A9F" w:rsidRPr="001656E2">
        <w:t>pozitivního nálezu</w:t>
      </w:r>
      <w:r w:rsidRPr="001656E2">
        <w:t xml:space="preserve"> </w:t>
      </w:r>
      <w:r w:rsidR="00BB40B7" w:rsidRPr="001656E2">
        <w:t>může</w:t>
      </w:r>
      <w:r w:rsidR="005B4D19" w:rsidRPr="001656E2">
        <w:t xml:space="preserve"> gynekolog</w:t>
      </w:r>
      <w:r w:rsidR="00BB40B7" w:rsidRPr="001656E2">
        <w:t xml:space="preserve"> </w:t>
      </w:r>
      <w:r w:rsidRPr="001656E2">
        <w:t>zajist</w:t>
      </w:r>
      <w:r w:rsidR="00BB40B7" w:rsidRPr="001656E2">
        <w:t>it</w:t>
      </w:r>
      <w:r w:rsidRPr="001656E2">
        <w:t xml:space="preserve"> preskripci přípravku s</w:t>
      </w:r>
      <w:r w:rsidR="00B32702" w:rsidRPr="001656E2">
        <w:t> </w:t>
      </w:r>
      <w:proofErr w:type="spellStart"/>
      <w:r w:rsidRPr="001656E2">
        <w:t>levotyroxin</w:t>
      </w:r>
      <w:r w:rsidR="00B32702" w:rsidRPr="001656E2">
        <w:t>em</w:t>
      </w:r>
      <w:proofErr w:type="spellEnd"/>
      <w:r w:rsidR="00B32702" w:rsidRPr="001656E2">
        <w:t xml:space="preserve"> v dávce dle </w:t>
      </w:r>
      <w:r w:rsidR="006E226F" w:rsidRPr="001656E2">
        <w:t>T</w:t>
      </w:r>
      <w:r w:rsidR="00B32702" w:rsidRPr="001656E2">
        <w:t xml:space="preserve">abulky </w:t>
      </w:r>
      <w:r w:rsidR="006E226F" w:rsidRPr="001656E2">
        <w:t>2</w:t>
      </w:r>
      <w:r w:rsidRPr="001656E2">
        <w:t xml:space="preserve"> a pouč</w:t>
      </w:r>
      <w:r w:rsidR="00D11F28" w:rsidRPr="001656E2">
        <w:t>it</w:t>
      </w:r>
      <w:r w:rsidRPr="001656E2">
        <w:t xml:space="preserve"> ženu o náležitém způsobu jeho užívání (ráno nalačno, 30 minut před jídlem a jinými léky, zapíjet pouze vodou)</w:t>
      </w:r>
      <w:r w:rsidR="006E226F" w:rsidRPr="001656E2">
        <w:t>, případně ženu odešle za účelem preskripce na endokrinologii či diabetologii.</w:t>
      </w:r>
      <w:r>
        <w:t xml:space="preserve"> </w:t>
      </w:r>
      <w:r w:rsidR="00B866EB">
        <w:t>Na žádance musí být uvedeno, že se jedná o vyšetření rizikové těhotné ženy s pozitivním laboratorním výsledkem</w:t>
      </w:r>
      <w:r w:rsidR="0008287F">
        <w:t xml:space="preserve"> v rámci </w:t>
      </w:r>
      <w:r w:rsidR="00870024">
        <w:t>I</w:t>
      </w:r>
      <w:r w:rsidR="0008287F">
        <w:t>. trimestru těhotenství</w:t>
      </w:r>
      <w:r w:rsidR="00B866EB">
        <w:t xml:space="preserve">. </w:t>
      </w:r>
      <w:r>
        <w:t xml:space="preserve">V případě potřeby </w:t>
      </w:r>
      <w:r w:rsidR="000B45E5">
        <w:t xml:space="preserve">také </w:t>
      </w:r>
      <w:r w:rsidR="000E6A9F">
        <w:t>doporučí</w:t>
      </w:r>
      <w:r w:rsidR="000B45E5">
        <w:t xml:space="preserve"> </w:t>
      </w:r>
      <w:r>
        <w:t>suplementaci jodem v dávce</w:t>
      </w:r>
      <w:r w:rsidRPr="002D0065">
        <w:t xml:space="preserve"> 150</w:t>
      </w:r>
      <w:r>
        <w:t>–</w:t>
      </w:r>
      <w:r w:rsidRPr="002D0065">
        <w:t xml:space="preserve">200 </w:t>
      </w:r>
      <w:r>
        <w:t>µg</w:t>
      </w:r>
      <w:r w:rsidRPr="002D0065">
        <w:t xml:space="preserve"> denně</w:t>
      </w:r>
      <w:r>
        <w:t xml:space="preserve"> (viz Tabulka 2). Následně </w:t>
      </w:r>
      <w:bookmarkStart w:id="20" w:name="_Hlk138709369"/>
      <w:r>
        <w:t>odešle ženu k ambulantnímu poskytovateli zdravotních služ</w:t>
      </w:r>
      <w:bookmarkEnd w:id="20"/>
      <w:r>
        <w:t>eb (dále jen „PZS“):</w:t>
      </w:r>
    </w:p>
    <w:p w14:paraId="3F562033" w14:textId="77777777" w:rsidR="0003218A" w:rsidRDefault="0003218A" w:rsidP="0003218A">
      <w:pPr>
        <w:pStyle w:val="Odstavecseseznamem"/>
        <w:numPr>
          <w:ilvl w:val="0"/>
          <w:numId w:val="24"/>
        </w:numPr>
        <w:spacing w:line="276" w:lineRule="auto"/>
      </w:pPr>
      <w:r>
        <w:t xml:space="preserve">ženy s výsledkem „Hypotyreóza“ odešle k ambulantnímu PZS </w:t>
      </w:r>
      <w:bookmarkStart w:id="21" w:name="_Hlk138709423"/>
      <w:r>
        <w:t>s odborností Endokrinologie nebo Diabetologie</w:t>
      </w:r>
      <w:bookmarkEnd w:id="21"/>
      <w:r>
        <w:t>,</w:t>
      </w:r>
    </w:p>
    <w:p w14:paraId="661E1DD7" w14:textId="77777777" w:rsidR="0003218A" w:rsidRDefault="0003218A" w:rsidP="0003218A">
      <w:pPr>
        <w:pStyle w:val="Odstavecseseznamem"/>
        <w:numPr>
          <w:ilvl w:val="0"/>
          <w:numId w:val="24"/>
        </w:numPr>
        <w:spacing w:line="276" w:lineRule="auto"/>
      </w:pPr>
      <w:r>
        <w:t xml:space="preserve">ženy s výsledkem “Hypertyreóza“ k ambulantnímu PZS s odborností Endokrinologie. </w:t>
      </w:r>
    </w:p>
    <w:p w14:paraId="2C6BAEBA" w14:textId="738EF7C0" w:rsidR="0003218A" w:rsidRPr="00D91375" w:rsidRDefault="0003218A" w:rsidP="0003218A">
      <w:r>
        <w:t>Seznam ambulantních PZS k tomu určených a kontakty na ně jsou dostupné na stránkách</w:t>
      </w:r>
      <w:r w:rsidRPr="006F5463">
        <w:t xml:space="preserve"> Česk</w:t>
      </w:r>
      <w:r>
        <w:t>é</w:t>
      </w:r>
      <w:r w:rsidRPr="006F5463">
        <w:t xml:space="preserve"> endokrinologick</w:t>
      </w:r>
      <w:r>
        <w:t>é</w:t>
      </w:r>
      <w:r w:rsidRPr="006F5463">
        <w:t xml:space="preserve"> společnost</w:t>
      </w:r>
      <w:r>
        <w:t>i</w:t>
      </w:r>
      <w:r w:rsidRPr="006F5463">
        <w:t xml:space="preserve"> (ČES) ČLS JEP</w:t>
      </w:r>
      <w:r>
        <w:t xml:space="preserve">, Ministerstva zdravotnictví ČR a zainteresovaných odborných společností. Seznam kontaktů bude průběžně aktualizován, přičemž za aktualizaci odpovídá </w:t>
      </w:r>
      <w:bookmarkStart w:id="22" w:name="_Hlk172906062"/>
      <w:r w:rsidR="007365A5">
        <w:t>ČES</w:t>
      </w:r>
      <w:r>
        <w:t xml:space="preserve"> ČLS JEP</w:t>
      </w:r>
      <w:bookmarkEnd w:id="22"/>
      <w:r>
        <w:t xml:space="preserve">. </w:t>
      </w:r>
    </w:p>
    <w:p w14:paraId="4846F8BA" w14:textId="77777777" w:rsidR="0003218A" w:rsidRDefault="0003218A" w:rsidP="0003218A">
      <w:pPr>
        <w:pStyle w:val="Nadpis2"/>
      </w:pPr>
      <w:bookmarkStart w:id="23" w:name="_Toc188617811"/>
      <w:r>
        <w:t>Biochemická laboratoř</w:t>
      </w:r>
      <w:bookmarkEnd w:id="23"/>
    </w:p>
    <w:p w14:paraId="49368060" w14:textId="0B01F771" w:rsidR="0003218A" w:rsidRPr="00EE6D14" w:rsidRDefault="002107A5" w:rsidP="0003218A">
      <w:pPr>
        <w:rPr>
          <w:bCs/>
        </w:rPr>
      </w:pPr>
      <w:r w:rsidRPr="00EE6D14">
        <w:rPr>
          <w:bCs/>
        </w:rPr>
        <w:t xml:space="preserve">V laboratoři </w:t>
      </w:r>
      <w:r w:rsidR="0008287F">
        <w:rPr>
          <w:bCs/>
        </w:rPr>
        <w:t>se</w:t>
      </w:r>
      <w:r w:rsidR="0008287F" w:rsidRPr="00EE6D14">
        <w:rPr>
          <w:bCs/>
        </w:rPr>
        <w:t xml:space="preserve"> prov</w:t>
      </w:r>
      <w:r w:rsidR="0008287F">
        <w:rPr>
          <w:bCs/>
        </w:rPr>
        <w:t>ádí</w:t>
      </w:r>
      <w:r w:rsidR="0008287F" w:rsidRPr="00EE6D14">
        <w:rPr>
          <w:bCs/>
        </w:rPr>
        <w:t xml:space="preserve"> </w:t>
      </w:r>
      <w:r w:rsidRPr="00EE6D14">
        <w:rPr>
          <w:bCs/>
        </w:rPr>
        <w:t>„flexní“ tyreoidální test, jehož vyhodnocení zajistí laboratoř.</w:t>
      </w:r>
      <w:r>
        <w:rPr>
          <w:bCs/>
        </w:rPr>
        <w:t xml:space="preserve"> </w:t>
      </w:r>
      <w:r w:rsidRPr="00EE6D14">
        <w:rPr>
          <w:bCs/>
        </w:rPr>
        <w:t xml:space="preserve">Laboratoř </w:t>
      </w:r>
      <w:r w:rsidR="0003218A" w:rsidRPr="00EE6D14">
        <w:rPr>
          <w:bCs/>
        </w:rPr>
        <w:t>bude o výsledku testu neprodleně informovat odesílající gynekologické pracoviště a</w:t>
      </w:r>
      <w:r>
        <w:rPr>
          <w:bCs/>
        </w:rPr>
        <w:t> </w:t>
      </w:r>
      <w:r w:rsidR="0003218A" w:rsidRPr="00EE6D14">
        <w:rPr>
          <w:bCs/>
        </w:rPr>
        <w:t>poskytne mu v tištěné nebo elektronické podobě:</w:t>
      </w:r>
    </w:p>
    <w:p w14:paraId="4AE7BC0A" w14:textId="77777777" w:rsidR="0003218A" w:rsidRPr="00EE6D14" w:rsidRDefault="0003218A" w:rsidP="0003218A">
      <w:pPr>
        <w:pStyle w:val="Odstavecseseznamem"/>
        <w:numPr>
          <w:ilvl w:val="0"/>
          <w:numId w:val="26"/>
        </w:numPr>
        <w:spacing w:line="276" w:lineRule="auto"/>
        <w:rPr>
          <w:bCs/>
        </w:rPr>
      </w:pPr>
      <w:r w:rsidRPr="00EE6D14">
        <w:rPr>
          <w:bCs/>
        </w:rPr>
        <w:t>kompletní výsledek testu;</w:t>
      </w:r>
    </w:p>
    <w:p w14:paraId="3725AB51" w14:textId="77777777" w:rsidR="0003218A" w:rsidRPr="00EE6D14" w:rsidRDefault="0003218A" w:rsidP="0003218A">
      <w:pPr>
        <w:pStyle w:val="Odstavecseseznamem"/>
        <w:numPr>
          <w:ilvl w:val="0"/>
          <w:numId w:val="26"/>
        </w:numPr>
        <w:spacing w:line="276" w:lineRule="auto"/>
        <w:rPr>
          <w:bCs/>
        </w:rPr>
      </w:pPr>
      <w:r w:rsidRPr="00EE6D14">
        <w:rPr>
          <w:bCs/>
        </w:rPr>
        <w:t>interpretaci výsledku testu (negativní výsledek, pozitivní výsledek HYPOTYREÓZA, pozitivní výsledek HYPERTYREÓZA);</w:t>
      </w:r>
    </w:p>
    <w:p w14:paraId="4C5BFC90" w14:textId="75306A72" w:rsidR="009618C1" w:rsidRPr="007365A5" w:rsidRDefault="0003218A" w:rsidP="007365A5">
      <w:pPr>
        <w:pStyle w:val="Odstavecseseznamem"/>
        <w:numPr>
          <w:ilvl w:val="0"/>
          <w:numId w:val="26"/>
        </w:numPr>
        <w:spacing w:line="276" w:lineRule="auto"/>
        <w:rPr>
          <w:bCs/>
        </w:rPr>
      </w:pPr>
      <w:r w:rsidRPr="00EE6D14">
        <w:rPr>
          <w:bCs/>
        </w:rPr>
        <w:t xml:space="preserve">doporučení dalšího postupu v závislosti na výsledku testu (viz </w:t>
      </w:r>
      <w:r>
        <w:rPr>
          <w:bCs/>
        </w:rPr>
        <w:t>Tabulka 2</w:t>
      </w:r>
      <w:r w:rsidR="00B8472C">
        <w:rPr>
          <w:bCs/>
        </w:rPr>
        <w:t>.</w:t>
      </w:r>
      <w:r w:rsidRPr="00EE6D14">
        <w:rPr>
          <w:bCs/>
        </w:rPr>
        <w:t>).</w:t>
      </w:r>
    </w:p>
    <w:p w14:paraId="497DF72E" w14:textId="770F7053" w:rsidR="0008287F" w:rsidRDefault="0008287F" w:rsidP="0003218A">
      <w:pPr>
        <w:rPr>
          <w:bCs/>
        </w:rPr>
      </w:pPr>
      <w:r>
        <w:rPr>
          <w:bCs/>
        </w:rPr>
        <w:t>Laboratoř vykazuje zdravotní pojišťovně zdravotní výkony, dle aktuálních doporučení.</w:t>
      </w:r>
    </w:p>
    <w:p w14:paraId="7AB4F1C0" w14:textId="13F8C3D8" w:rsidR="0003218A" w:rsidRPr="005B4E37" w:rsidRDefault="0003218A" w:rsidP="0003218A">
      <w:pPr>
        <w:rPr>
          <w:bCs/>
        </w:rPr>
      </w:pPr>
      <w:bookmarkStart w:id="24" w:name="_Hlk208301846"/>
      <w:r w:rsidRPr="005B4E37">
        <w:rPr>
          <w:bCs/>
        </w:rPr>
        <w:lastRenderedPageBreak/>
        <w:t xml:space="preserve">Vyšetření a vyhodnocení parametrů </w:t>
      </w:r>
      <w:r>
        <w:rPr>
          <w:bCs/>
        </w:rPr>
        <w:t xml:space="preserve">funkce </w:t>
      </w:r>
      <w:r w:rsidRPr="005B4E37">
        <w:rPr>
          <w:bCs/>
        </w:rPr>
        <w:t xml:space="preserve">štítné žlázy probíhá v akreditovaných laboratořích. Požadavky na laboratoře pro </w:t>
      </w:r>
      <w:r w:rsidRPr="008E4544">
        <w:rPr>
          <w:bCs/>
        </w:rPr>
        <w:t>vyšetření poruch štítné žlázy v těhotenství u rizikových žen</w:t>
      </w:r>
      <w:r w:rsidRPr="005B4E37">
        <w:rPr>
          <w:bCs/>
        </w:rPr>
        <w:t xml:space="preserve"> jsou definovány následovně: </w:t>
      </w:r>
    </w:p>
    <w:p w14:paraId="0AAB45EB" w14:textId="77777777" w:rsidR="0003218A" w:rsidRPr="005B4E37" w:rsidRDefault="0003218A" w:rsidP="0003218A">
      <w:pPr>
        <w:pStyle w:val="Odstavecseseznamem"/>
        <w:numPr>
          <w:ilvl w:val="0"/>
          <w:numId w:val="25"/>
        </w:numPr>
        <w:spacing w:line="276" w:lineRule="auto"/>
        <w:rPr>
          <w:bCs/>
        </w:rPr>
      </w:pPr>
      <w:bookmarkStart w:id="25" w:name="_Hlk137626058"/>
      <w:r>
        <w:rPr>
          <w:bCs/>
        </w:rPr>
        <w:t xml:space="preserve">Laboratoř splňuje požadavky normy ISO:15189 ověřené </w:t>
      </w:r>
      <w:r w:rsidRPr="005B4E37">
        <w:rPr>
          <w:bCs/>
        </w:rPr>
        <w:t>ČIA nebo NASKL</w:t>
      </w:r>
      <w:bookmarkEnd w:id="25"/>
      <w:r w:rsidRPr="005B4E37">
        <w:rPr>
          <w:bCs/>
        </w:rPr>
        <w:t>.</w:t>
      </w:r>
    </w:p>
    <w:p w14:paraId="67A602E3" w14:textId="4DE340B8" w:rsidR="0003218A" w:rsidRPr="005B4E37" w:rsidRDefault="0003218A" w:rsidP="0003218A">
      <w:pPr>
        <w:pStyle w:val="Odstavecseseznamem"/>
        <w:numPr>
          <w:ilvl w:val="0"/>
          <w:numId w:val="25"/>
        </w:numPr>
        <w:spacing w:line="276" w:lineRule="auto"/>
        <w:rPr>
          <w:bCs/>
        </w:rPr>
      </w:pPr>
      <w:r>
        <w:rPr>
          <w:bCs/>
        </w:rPr>
        <w:t>Doložení</w:t>
      </w:r>
      <w:r w:rsidRPr="005B4E37">
        <w:rPr>
          <w:bCs/>
        </w:rPr>
        <w:t xml:space="preserve"> úspěšné účasti v externí kontrole kvality (české nebo zahraniční) pro TSH, FT4 i</w:t>
      </w:r>
      <w:r w:rsidR="009618C1">
        <w:rPr>
          <w:bCs/>
        </w:rPr>
        <w:t> </w:t>
      </w:r>
      <w:proofErr w:type="spellStart"/>
      <w:r w:rsidRPr="005B4E37">
        <w:rPr>
          <w:bCs/>
        </w:rPr>
        <w:t>TPOAb</w:t>
      </w:r>
      <w:proofErr w:type="spellEnd"/>
      <w:r>
        <w:rPr>
          <w:bCs/>
        </w:rPr>
        <w:t>, minimálně 2x ročně</w:t>
      </w:r>
      <w:r w:rsidRPr="005B4E37">
        <w:rPr>
          <w:bCs/>
        </w:rPr>
        <w:t>.</w:t>
      </w:r>
    </w:p>
    <w:p w14:paraId="66C9B958" w14:textId="77777777" w:rsidR="0003218A" w:rsidRPr="005B4E37" w:rsidRDefault="0003218A" w:rsidP="0003218A">
      <w:pPr>
        <w:pStyle w:val="Odstavecseseznamem"/>
        <w:numPr>
          <w:ilvl w:val="0"/>
          <w:numId w:val="25"/>
        </w:numPr>
        <w:spacing w:line="276" w:lineRule="auto"/>
        <w:rPr>
          <w:bCs/>
        </w:rPr>
      </w:pPr>
      <w:r w:rsidRPr="005B4E37">
        <w:rPr>
          <w:bCs/>
        </w:rPr>
        <w:t>P</w:t>
      </w:r>
      <w:r>
        <w:rPr>
          <w:bCs/>
        </w:rPr>
        <w:t>rovádění a doložení p</w:t>
      </w:r>
      <w:r w:rsidRPr="005B4E37">
        <w:rPr>
          <w:bCs/>
        </w:rPr>
        <w:t xml:space="preserve">ravidelné interní kontroly kvality pro TSH, FT4 i </w:t>
      </w:r>
      <w:proofErr w:type="spellStart"/>
      <w:r w:rsidRPr="005B4E37">
        <w:rPr>
          <w:bCs/>
        </w:rPr>
        <w:t>TPOAb</w:t>
      </w:r>
      <w:proofErr w:type="spellEnd"/>
      <w:r w:rsidRPr="005B4E37">
        <w:rPr>
          <w:bCs/>
        </w:rPr>
        <w:t xml:space="preserve">, které se pohybují v rozmezí maximálně dvou směrodatných odchylek doporučených výrobcem kontrolního materiálu. </w:t>
      </w:r>
    </w:p>
    <w:p w14:paraId="63D860F9" w14:textId="408DE6DC" w:rsidR="0003218A" w:rsidRPr="005B4E37" w:rsidRDefault="0003218A" w:rsidP="0003218A">
      <w:pPr>
        <w:pStyle w:val="Odstavecseseznamem"/>
        <w:numPr>
          <w:ilvl w:val="0"/>
          <w:numId w:val="25"/>
        </w:numPr>
        <w:spacing w:line="276" w:lineRule="auto"/>
        <w:rPr>
          <w:bCs/>
        </w:rPr>
      </w:pPr>
      <w:r w:rsidRPr="005B4E37">
        <w:rPr>
          <w:bCs/>
        </w:rPr>
        <w:t xml:space="preserve">Vlastní </w:t>
      </w:r>
      <w:r>
        <w:rPr>
          <w:bCs/>
        </w:rPr>
        <w:t xml:space="preserve">nebo ověřené </w:t>
      </w:r>
      <w:r w:rsidRPr="005B4E37">
        <w:rPr>
          <w:bCs/>
        </w:rPr>
        <w:t>referenčními intervaly TSH pro těhotné v</w:t>
      </w:r>
      <w:r w:rsidR="003A6952">
        <w:rPr>
          <w:bCs/>
        </w:rPr>
        <w:t> I</w:t>
      </w:r>
      <w:r w:rsidRPr="005B4E37">
        <w:rPr>
          <w:bCs/>
        </w:rPr>
        <w:t xml:space="preserve">. trimestru těhotenství. </w:t>
      </w:r>
    </w:p>
    <w:p w14:paraId="7F0D21E5" w14:textId="77777777" w:rsidR="0003218A" w:rsidRDefault="0003218A" w:rsidP="0003218A">
      <w:pPr>
        <w:pStyle w:val="Odstavecseseznamem"/>
        <w:numPr>
          <w:ilvl w:val="0"/>
          <w:numId w:val="25"/>
        </w:numPr>
        <w:spacing w:line="276" w:lineRule="auto"/>
        <w:rPr>
          <w:bCs/>
        </w:rPr>
      </w:pPr>
      <w:r w:rsidRPr="005B4E37">
        <w:rPr>
          <w:bCs/>
        </w:rPr>
        <w:t xml:space="preserve">Dostupná dokumentace s užívaným referenčním intervalem pro TSH, eventuálně pro FT4, včetně referenčních intervalů pro běžnou populaci, a to i pro </w:t>
      </w:r>
      <w:proofErr w:type="spellStart"/>
      <w:r w:rsidRPr="005B4E37">
        <w:rPr>
          <w:bCs/>
        </w:rPr>
        <w:t>TPOAb</w:t>
      </w:r>
      <w:proofErr w:type="spellEnd"/>
      <w:r w:rsidRPr="005B4E37">
        <w:rPr>
          <w:bCs/>
        </w:rPr>
        <w:t xml:space="preserve">, a používaný analytický systém (výrobce analyzátoru a diagnostických souprav). </w:t>
      </w:r>
    </w:p>
    <w:p w14:paraId="26D76B11" w14:textId="77777777" w:rsidR="0003218A" w:rsidRPr="00F3028D" w:rsidRDefault="0003218A" w:rsidP="0003218A">
      <w:pPr>
        <w:pStyle w:val="Nadpis2"/>
      </w:pPr>
      <w:bookmarkStart w:id="26" w:name="_Hlk138710208"/>
      <w:bookmarkStart w:id="27" w:name="_Toc188617812"/>
      <w:bookmarkEnd w:id="24"/>
      <w:r>
        <w:t>Ambulantní endokrinologická</w:t>
      </w:r>
      <w:r>
        <w:rPr>
          <w:rStyle w:val="Znakapoznpodarou"/>
        </w:rPr>
        <w:footnoteReference w:id="2"/>
      </w:r>
      <w:r>
        <w:t xml:space="preserve"> péče</w:t>
      </w:r>
      <w:bookmarkEnd w:id="26"/>
      <w:r w:rsidRPr="00685367">
        <w:t xml:space="preserve"> (</w:t>
      </w:r>
      <w:r>
        <w:t>došetření dle schváleného algoritmu</w:t>
      </w:r>
      <w:r w:rsidRPr="00685367">
        <w:t>)</w:t>
      </w:r>
      <w:bookmarkEnd w:id="27"/>
    </w:p>
    <w:p w14:paraId="418F5624" w14:textId="73A139B4" w:rsidR="0003218A" w:rsidRDefault="0003218A" w:rsidP="0003218A">
      <w:r>
        <w:t>Pro tento účel je</w:t>
      </w:r>
      <w:r w:rsidRPr="00086092">
        <w:t xml:space="preserve"> vytvořena celorepubliková síť ambulantních</w:t>
      </w:r>
      <w:r>
        <w:t xml:space="preserve"> pracovišť s odborností</w:t>
      </w:r>
      <w:r w:rsidRPr="00086092">
        <w:t xml:space="preserve"> </w:t>
      </w:r>
      <w:r>
        <w:t xml:space="preserve">endokrinologie nebo diabetologie, které zajistí péči o těhotné ženy s pozitivním výsledkem „flexního“ laboratorního tyreoidálního testu v rámci vyšetření poruch štítné žlázy v těhotenství </w:t>
      </w:r>
      <w:r w:rsidRPr="00566DC9">
        <w:t>u</w:t>
      </w:r>
      <w:r w:rsidR="009618C1">
        <w:t> </w:t>
      </w:r>
      <w:r w:rsidRPr="00566DC9">
        <w:t>rizikových žen</w:t>
      </w:r>
      <w:r>
        <w:t xml:space="preserve">, kam bude těhotná žena s pozitivním výsledkem testu referována od gynekologa. Seznam těchto pracovišť je dostupný na stránkách </w:t>
      </w:r>
      <w:r w:rsidRPr="006F5463">
        <w:t>Česk</w:t>
      </w:r>
      <w:r w:rsidR="007365A5">
        <w:t>é</w:t>
      </w:r>
      <w:r w:rsidRPr="006F5463">
        <w:t xml:space="preserve"> endokrinologick</w:t>
      </w:r>
      <w:r w:rsidR="007365A5">
        <w:t>é</w:t>
      </w:r>
      <w:r w:rsidRPr="006F5463">
        <w:t xml:space="preserve"> společnost</w:t>
      </w:r>
      <w:r w:rsidR="007365A5">
        <w:t>i</w:t>
      </w:r>
      <w:r w:rsidRPr="006F5463">
        <w:t xml:space="preserve"> ČLS JEP</w:t>
      </w:r>
      <w:r>
        <w:t>,</w:t>
      </w:r>
      <w:r w:rsidRPr="006F5463">
        <w:t xml:space="preserve"> </w:t>
      </w:r>
      <w:r>
        <w:t xml:space="preserve">Ministerstva zdravotnictví ČR a zainteresovaných odborných společností a je průběžně aktualizován. </w:t>
      </w:r>
      <w:r w:rsidRPr="00047E84">
        <w:t>Za aktualizaci odpovídá Česká endokrinologická společnost ČLS JEP</w:t>
      </w:r>
      <w:r>
        <w:t xml:space="preserve">. </w:t>
      </w:r>
    </w:p>
    <w:p w14:paraId="446DF153" w14:textId="2F79E86B" w:rsidR="0003218A" w:rsidRDefault="0003218A" w:rsidP="0003218A">
      <w:r>
        <w:t xml:space="preserve">Lékař </w:t>
      </w:r>
      <w:r w:rsidRPr="005B4E37">
        <w:t>zhodno</w:t>
      </w:r>
      <w:r>
        <w:t>tí</w:t>
      </w:r>
      <w:r w:rsidRPr="005B4E37">
        <w:t xml:space="preserve"> výsledk</w:t>
      </w:r>
      <w:r>
        <w:t>y</w:t>
      </w:r>
      <w:r w:rsidRPr="005B4E37">
        <w:t xml:space="preserve"> laboratorních tyreoidálních testů</w:t>
      </w:r>
      <w:r>
        <w:t>,</w:t>
      </w:r>
      <w:r w:rsidRPr="005B4E37">
        <w:t xml:space="preserve"> </w:t>
      </w:r>
      <w:r w:rsidRPr="00086092">
        <w:t xml:space="preserve">provede </w:t>
      </w:r>
      <w:r w:rsidR="007329D1">
        <w:t>příslušná vyšetření</w:t>
      </w:r>
      <w:r w:rsidRPr="00086092">
        <w:t>,</w:t>
      </w:r>
      <w:r>
        <w:t xml:space="preserve"> případně doplní další laboratorní testy. V případě potřeby zajistí ultrazvuk (</w:t>
      </w:r>
      <w:r w:rsidRPr="00086092">
        <w:t>USG</w:t>
      </w:r>
      <w:r>
        <w:t>)</w:t>
      </w:r>
      <w:r w:rsidRPr="00086092">
        <w:t xml:space="preserve"> </w:t>
      </w:r>
      <w:r>
        <w:t>štítné žlázy.</w:t>
      </w:r>
    </w:p>
    <w:p w14:paraId="6D45735A" w14:textId="77777777" w:rsidR="0003218A" w:rsidRDefault="0003218A" w:rsidP="0003218A">
      <w:r>
        <w:t>Následně</w:t>
      </w:r>
      <w:r w:rsidRPr="00086092">
        <w:t xml:space="preserve"> </w:t>
      </w:r>
      <w:r>
        <w:t xml:space="preserve">upraví léčbu, která byla již zahájena gynekologem, nebo jí zahájí sám.  Nad rámec běžné péče spadající do komplexního endokrinologického vyšetření lékař provede: </w:t>
      </w:r>
    </w:p>
    <w:p w14:paraId="1C67258E" w14:textId="77777777" w:rsidR="0003218A" w:rsidRDefault="0003218A" w:rsidP="0003218A">
      <w:pPr>
        <w:pStyle w:val="Odstavecseseznamem"/>
        <w:numPr>
          <w:ilvl w:val="0"/>
          <w:numId w:val="29"/>
        </w:numPr>
        <w:spacing w:line="276" w:lineRule="auto"/>
      </w:pPr>
      <w:r>
        <w:t>podrobnou edukaci stran potenciálních rizik neléčené nebo neadekvátně léčené poruchy štítné žlázy na průběh těhotenství a vývoj plodu</w:t>
      </w:r>
      <w:r w:rsidRPr="00EE6D14">
        <w:rPr>
          <w:bCs/>
        </w:rPr>
        <w:t>;</w:t>
      </w:r>
    </w:p>
    <w:p w14:paraId="3C1874C1" w14:textId="77777777" w:rsidR="0003218A" w:rsidRDefault="0003218A" w:rsidP="0003218A">
      <w:pPr>
        <w:pStyle w:val="Odstavecseseznamem"/>
        <w:numPr>
          <w:ilvl w:val="0"/>
          <w:numId w:val="29"/>
        </w:numPr>
        <w:spacing w:line="276" w:lineRule="auto"/>
      </w:pPr>
      <w:r>
        <w:t>podrobnou edukaci o dalším průběhu léčby v těhotenství včetně zdůraznění nutnosti dalších laboratorních a klinických kontrol, zejména v období do 20. týdne gravidity a pak po šestinedělí z důvodu případné úpravy terapie</w:t>
      </w:r>
      <w:r w:rsidRPr="00EE6D14">
        <w:rPr>
          <w:bCs/>
        </w:rPr>
        <w:t>;</w:t>
      </w:r>
    </w:p>
    <w:p w14:paraId="1143E47C" w14:textId="77777777" w:rsidR="0003218A" w:rsidRDefault="0003218A" w:rsidP="0003218A">
      <w:pPr>
        <w:pStyle w:val="Odstavecseseznamem"/>
        <w:numPr>
          <w:ilvl w:val="0"/>
          <w:numId w:val="29"/>
        </w:numPr>
        <w:spacing w:line="276" w:lineRule="auto"/>
      </w:pPr>
      <w:r>
        <w:t>podrobnou edukaci o nutnosti dostatečného přísunu jodu v dávce 150–200 µg denně, včetně výčtu vhodných a nevhodných přípravků s jodem</w:t>
      </w:r>
      <w:r w:rsidRPr="00EE6D14">
        <w:rPr>
          <w:bCs/>
        </w:rPr>
        <w:t>;</w:t>
      </w:r>
    </w:p>
    <w:p w14:paraId="74A130C0" w14:textId="77777777" w:rsidR="0003218A" w:rsidRDefault="0003218A" w:rsidP="0003218A">
      <w:pPr>
        <w:pStyle w:val="Odstavecseseznamem"/>
        <w:numPr>
          <w:ilvl w:val="0"/>
          <w:numId w:val="29"/>
        </w:numPr>
        <w:spacing w:line="276" w:lineRule="auto"/>
      </w:pPr>
      <w:r>
        <w:t>v případě potřeby ultrazvuk štítné žlázy.</w:t>
      </w:r>
    </w:p>
    <w:p w14:paraId="66D82F6E" w14:textId="77777777" w:rsidR="0003218A" w:rsidRDefault="0003218A" w:rsidP="0003218A">
      <w:r>
        <w:t>F</w:t>
      </w:r>
      <w:r w:rsidRPr="001D65A2">
        <w:t>rekvence</w:t>
      </w:r>
      <w:r>
        <w:t xml:space="preserve"> dalších</w:t>
      </w:r>
      <w:r w:rsidRPr="001D65A2">
        <w:t xml:space="preserve"> návštěv</w:t>
      </w:r>
      <w:r>
        <w:t xml:space="preserve"> u endokrinologa</w:t>
      </w:r>
      <w:r w:rsidRPr="001D65A2">
        <w:t xml:space="preserve"> odpovídá doporučením </w:t>
      </w:r>
      <w:r>
        <w:t>ČES</w:t>
      </w:r>
      <w:r w:rsidRPr="001D65A2">
        <w:t xml:space="preserve"> ČLS JEP.</w:t>
      </w:r>
      <w:r>
        <w:t xml:space="preserve"> Těhotná žena je v péči</w:t>
      </w:r>
      <w:r w:rsidRPr="00086092">
        <w:t xml:space="preserve"> </w:t>
      </w:r>
      <w:r>
        <w:t>endokrinologa (nebo certifikovaného diabetologa) ještě minimálně 6 měsíců po porodu.</w:t>
      </w:r>
      <w:r w:rsidRPr="00086092">
        <w:t xml:space="preserve"> </w:t>
      </w:r>
      <w:r>
        <w:t>Následně lékař rozhodne, zda pacientka nadále zůstává v péči specialisty nebo je odeslána do dispenzární péče praktického lékaře.</w:t>
      </w:r>
    </w:p>
    <w:p w14:paraId="0F356A12" w14:textId="77777777" w:rsidR="00681B73" w:rsidRDefault="00681B73" w:rsidP="0003218A">
      <w:pPr>
        <w:rPr>
          <w:b/>
          <w:bCs/>
        </w:rPr>
      </w:pPr>
      <w:r>
        <w:rPr>
          <w:b/>
          <w:bCs/>
        </w:rPr>
        <w:t xml:space="preserve"> </w:t>
      </w:r>
    </w:p>
    <w:p w14:paraId="408A10F7" w14:textId="5E2D6981" w:rsidR="0003218A" w:rsidRDefault="0003218A" w:rsidP="0003218A">
      <w:pPr>
        <w:rPr>
          <w:b/>
          <w:bCs/>
        </w:rPr>
      </w:pPr>
      <w:r w:rsidRPr="000A36F0">
        <w:rPr>
          <w:b/>
          <w:bCs/>
        </w:rPr>
        <w:lastRenderedPageBreak/>
        <w:t xml:space="preserve">Kritéria pro získání způsobilosti </w:t>
      </w:r>
      <w:r>
        <w:rPr>
          <w:b/>
          <w:bCs/>
        </w:rPr>
        <w:t xml:space="preserve">k péči o ženy s pozitivním výsledkem testu v rámci vyšetření poruch štítné žlázy </w:t>
      </w:r>
      <w:r w:rsidRPr="00B86BE3">
        <w:rPr>
          <w:b/>
          <w:bCs/>
        </w:rPr>
        <w:t>v</w:t>
      </w:r>
      <w:r>
        <w:rPr>
          <w:b/>
          <w:bCs/>
        </w:rPr>
        <w:t> </w:t>
      </w:r>
      <w:r w:rsidRPr="00B86BE3">
        <w:rPr>
          <w:b/>
          <w:bCs/>
        </w:rPr>
        <w:t>těhotenství</w:t>
      </w:r>
      <w:r w:rsidRPr="00566DC9">
        <w:t xml:space="preserve"> </w:t>
      </w:r>
      <w:r w:rsidRPr="00566DC9">
        <w:rPr>
          <w:b/>
          <w:bCs/>
        </w:rPr>
        <w:t>u rizikových žen</w:t>
      </w:r>
      <w:r w:rsidRPr="00B86BE3" w:rsidDel="00B86BE3">
        <w:rPr>
          <w:b/>
          <w:bCs/>
        </w:rPr>
        <w:t xml:space="preserve"> </w:t>
      </w:r>
      <w:r>
        <w:rPr>
          <w:b/>
          <w:bCs/>
        </w:rPr>
        <w:t xml:space="preserve">jsou: </w:t>
      </w:r>
    </w:p>
    <w:p w14:paraId="6C6455CC" w14:textId="01687AA9" w:rsidR="0003218A" w:rsidRPr="00933605" w:rsidRDefault="00F96446" w:rsidP="0003218A">
      <w:pPr>
        <w:numPr>
          <w:ilvl w:val="0"/>
          <w:numId w:val="28"/>
        </w:numPr>
        <w:spacing w:line="276" w:lineRule="auto"/>
        <w:contextualSpacing/>
      </w:pPr>
      <w:r>
        <w:t>Poskytovatel</w:t>
      </w:r>
      <w:r w:rsidR="00681B73">
        <w:t xml:space="preserve"> </w:t>
      </w:r>
      <w:r w:rsidR="0003218A">
        <w:t xml:space="preserve">má </w:t>
      </w:r>
      <w:r w:rsidR="0003218A" w:rsidRPr="00A11E36">
        <w:t>technick</w:t>
      </w:r>
      <w:r w:rsidR="0003218A">
        <w:t>é</w:t>
      </w:r>
      <w:r w:rsidR="0003218A" w:rsidRPr="00A11E36">
        <w:t xml:space="preserve"> a personální </w:t>
      </w:r>
      <w:r w:rsidR="0003218A" w:rsidRPr="00933605">
        <w:t>vybavení</w:t>
      </w:r>
      <w:r w:rsidR="00275C64" w:rsidRPr="00933605">
        <w:t xml:space="preserve"> dle vyhlášky č. 357/2024 Sb. o požadavcích na minimální technické a věcné vybavení zdravotnických zařízení a kontaktních pracovišť domácí péče, ve znění pozdějších předpisů a vyhlášky č. 99/2012 Sb. o požadavcích na minimální personální zabezpečení zdravotních služeb</w:t>
      </w:r>
      <w:r w:rsidR="0003218A" w:rsidRPr="00933605">
        <w:t>.</w:t>
      </w:r>
    </w:p>
    <w:p w14:paraId="067D3FB7" w14:textId="398CC607" w:rsidR="0003218A" w:rsidRPr="00DB6F67" w:rsidRDefault="00F96446" w:rsidP="0063334A">
      <w:pPr>
        <w:numPr>
          <w:ilvl w:val="0"/>
          <w:numId w:val="28"/>
        </w:numPr>
        <w:spacing w:line="276" w:lineRule="auto"/>
        <w:contextualSpacing/>
      </w:pPr>
      <w:r>
        <w:t xml:space="preserve">Poskytovatel </w:t>
      </w:r>
      <w:r w:rsidR="0003218A">
        <w:t xml:space="preserve">se zavazuje ke schopnosti a ochotě vyšetřit/konzultovat/převzít do péče těhotné ženy s pozitivním výsledkem vyšetření bezodkladně a nejpozději do 3 týdnů, což bude </w:t>
      </w:r>
      <w:r w:rsidR="0003218A" w:rsidRPr="00DB6F67">
        <w:t>monitorováno</w:t>
      </w:r>
      <w:r w:rsidR="00F268F3">
        <w:t>.</w:t>
      </w:r>
      <w:r w:rsidR="0003218A" w:rsidRPr="00DB6F67">
        <w:t xml:space="preserve"> </w:t>
      </w:r>
    </w:p>
    <w:p w14:paraId="0E0201FC" w14:textId="77777777" w:rsidR="0003218A" w:rsidRPr="00A11E36" w:rsidRDefault="0003218A" w:rsidP="0003218A">
      <w:pPr>
        <w:numPr>
          <w:ilvl w:val="0"/>
          <w:numId w:val="28"/>
        </w:numPr>
        <w:spacing w:line="276" w:lineRule="auto"/>
        <w:contextualSpacing/>
      </w:pPr>
      <w:r>
        <w:t xml:space="preserve">Ambulance, která nebude mít odbornost endokrinologie, absolvuje </w:t>
      </w:r>
      <w:bookmarkStart w:id="28" w:name="_Hlk138709972"/>
      <w:r>
        <w:t>specializační kurz</w:t>
      </w:r>
      <w:bookmarkEnd w:id="28"/>
      <w:r>
        <w:t xml:space="preserve">, kde bude seznámena s </w:t>
      </w:r>
      <w:r w:rsidRPr="00A76665">
        <w:t xml:space="preserve">algoritmem </w:t>
      </w:r>
      <w:r>
        <w:t xml:space="preserve">prováděného vyšetření a </w:t>
      </w:r>
      <w:r w:rsidRPr="00A76665">
        <w:t xml:space="preserve">doporučenými postupy pro léčbu </w:t>
      </w:r>
      <w:proofErr w:type="spellStart"/>
      <w:r w:rsidRPr="00A76665">
        <w:t>tyreopatií</w:t>
      </w:r>
      <w:proofErr w:type="spellEnd"/>
      <w:r w:rsidRPr="00A76665">
        <w:t xml:space="preserve"> v</w:t>
      </w:r>
      <w:r>
        <w:t> </w:t>
      </w:r>
      <w:r w:rsidRPr="00A76665">
        <w:t>těhotenství</w:t>
      </w:r>
      <w:r>
        <w:t xml:space="preserve">, </w:t>
      </w:r>
      <w:bookmarkStart w:id="29" w:name="_Hlk138710005"/>
      <w:r>
        <w:t>který realizuje</w:t>
      </w:r>
      <w:r w:rsidRPr="00B86BE3">
        <w:t xml:space="preserve"> ČES ČLS JEP</w:t>
      </w:r>
      <w:bookmarkEnd w:id="29"/>
      <w:r>
        <w:t>.</w:t>
      </w:r>
    </w:p>
    <w:p w14:paraId="7E12E45B" w14:textId="77777777" w:rsidR="0003218A" w:rsidRDefault="0003218A" w:rsidP="0003218A">
      <w:pPr>
        <w:numPr>
          <w:ilvl w:val="0"/>
          <w:numId w:val="28"/>
        </w:numPr>
        <w:spacing w:line="276" w:lineRule="auto"/>
        <w:contextualSpacing/>
      </w:pPr>
      <w:r>
        <w:t xml:space="preserve">V případě potřeby je </w:t>
      </w:r>
      <w:r w:rsidRPr="00A11E36">
        <w:t>umožněna monitorace pracoviště</w:t>
      </w:r>
      <w:r>
        <w:t>.</w:t>
      </w:r>
    </w:p>
    <w:p w14:paraId="35CF5FA9" w14:textId="7A568942" w:rsidR="0003218A" w:rsidRDefault="0003218A" w:rsidP="0003218A">
      <w:pPr>
        <w:numPr>
          <w:ilvl w:val="0"/>
          <w:numId w:val="28"/>
        </w:numPr>
        <w:spacing w:line="276" w:lineRule="auto"/>
        <w:contextualSpacing/>
      </w:pPr>
      <w:r w:rsidRPr="00A11E36">
        <w:t xml:space="preserve">Pracoviště má </w:t>
      </w:r>
      <w:bookmarkStart w:id="30" w:name="_Hlk138709858"/>
      <w:r>
        <w:t>návaznost na</w:t>
      </w:r>
      <w:r w:rsidRPr="00A11E36">
        <w:t xml:space="preserve"> </w:t>
      </w:r>
      <w:bookmarkEnd w:id="30"/>
      <w:r w:rsidRPr="00A11E36">
        <w:t xml:space="preserve">spolupracující </w:t>
      </w:r>
      <w:r>
        <w:t>laboratoř splňující podmínky definované výše.</w:t>
      </w:r>
    </w:p>
    <w:p w14:paraId="7DE077A6" w14:textId="77777777" w:rsidR="0003218A" w:rsidRDefault="0003218A" w:rsidP="0003218A">
      <w:pPr>
        <w:pStyle w:val="Nadpis2"/>
      </w:pPr>
      <w:bookmarkStart w:id="31" w:name="_Toc188617813"/>
      <w:r w:rsidRPr="00D91375">
        <w:t>Všeobecní praktičtí lékaři (VPL)</w:t>
      </w:r>
      <w:bookmarkEnd w:id="31"/>
    </w:p>
    <w:p w14:paraId="64ACC33D" w14:textId="5BDE3758" w:rsidR="0003218A" w:rsidRDefault="0003218A" w:rsidP="002D49AE">
      <w:r>
        <w:t xml:space="preserve">V případě, že to charakter zjištěné poruchy umožní a pracoviště ambulantní endokrinologické péče doporučí, převezme ženu do dispenzární péče VPL, nejdříve však 6 měsíců po porodu. </w:t>
      </w:r>
    </w:p>
    <w:p w14:paraId="3C7A5A3D" w14:textId="09106614" w:rsidR="0003218A" w:rsidRDefault="0003218A" w:rsidP="00C5538B">
      <w:pPr>
        <w:pStyle w:val="Nadpis1"/>
      </w:pPr>
      <w:bookmarkStart w:id="32" w:name="_Toc188617814"/>
      <w:r>
        <w:t xml:space="preserve">Léčba diagnostikované </w:t>
      </w:r>
      <w:proofErr w:type="spellStart"/>
      <w:r>
        <w:t>tyreopatie</w:t>
      </w:r>
      <w:proofErr w:type="spellEnd"/>
      <w:r>
        <w:t xml:space="preserve"> v graviditě</w:t>
      </w:r>
      <w:bookmarkEnd w:id="32"/>
    </w:p>
    <w:p w14:paraId="18E6FA25" w14:textId="4B6E813B" w:rsidR="0003218A" w:rsidRPr="00170A33" w:rsidRDefault="0003218A" w:rsidP="0003218A">
      <w:pPr>
        <w:rPr>
          <w:rFonts w:eastAsiaTheme="majorEastAsia" w:cstheme="majorBidi"/>
          <w:b/>
          <w:bCs/>
          <w:color w:val="DA2B46"/>
          <w:sz w:val="32"/>
          <w:szCs w:val="28"/>
        </w:rPr>
      </w:pPr>
      <w:r>
        <w:t xml:space="preserve">V České republice je doporučený postup pro léčbu </w:t>
      </w:r>
      <w:proofErr w:type="spellStart"/>
      <w:r>
        <w:t>tyreopatií</w:t>
      </w:r>
      <w:proofErr w:type="spellEnd"/>
      <w:r>
        <w:t xml:space="preserve"> stanoven ČES ČLS JEP, dostupný na stránkách</w:t>
      </w:r>
      <w:r w:rsidR="00BA0081">
        <w:t xml:space="preserve"> </w:t>
      </w:r>
      <w:hyperlink r:id="rId14" w:history="1">
        <w:r w:rsidR="00BA0081">
          <w:rPr>
            <w:rStyle w:val="Hypertextovodkaz"/>
          </w:rPr>
          <w:t xml:space="preserve">Doporučení pro prevenci, časný záchyt a léčbu </w:t>
        </w:r>
        <w:proofErr w:type="spellStart"/>
        <w:r w:rsidR="00BA0081">
          <w:rPr>
            <w:rStyle w:val="Hypertextovodkaz"/>
          </w:rPr>
          <w:t>tyreopatií</w:t>
        </w:r>
        <w:proofErr w:type="spellEnd"/>
        <w:r w:rsidR="00BA0081">
          <w:rPr>
            <w:rStyle w:val="Hypertextovodkaz"/>
          </w:rPr>
          <w:t xml:space="preserve"> v těhotenství [NOVELIZACE 9/2023] - endokrinologie.cz</w:t>
        </w:r>
      </w:hyperlink>
      <w:r>
        <w:t xml:space="preserve">. </w:t>
      </w:r>
      <w:r w:rsidRPr="00976F82">
        <w:t xml:space="preserve">Základním principem je multidisciplinární a individualizovaný přístup respektující informované rozhodnutí </w:t>
      </w:r>
      <w:r>
        <w:t>zapojené osoby</w:t>
      </w:r>
      <w:r w:rsidRPr="00976F82">
        <w:t xml:space="preserve"> tak</w:t>
      </w:r>
      <w:r>
        <w:t>,</w:t>
      </w:r>
      <w:r w:rsidRPr="00976F82">
        <w:t xml:space="preserve"> aby bylo možno maximalizovat přínosy</w:t>
      </w:r>
      <w:r w:rsidRPr="00AA19FD">
        <w:t xml:space="preserve"> vyšetření </w:t>
      </w:r>
      <w:r w:rsidRPr="00976F82">
        <w:t xml:space="preserve">při minimalizaci negativních dopadů (zejména </w:t>
      </w:r>
      <w:proofErr w:type="spellStart"/>
      <w:r w:rsidRPr="00976F82">
        <w:t>overtreatment</w:t>
      </w:r>
      <w:proofErr w:type="spellEnd"/>
      <w:r>
        <w:t xml:space="preserve"> a</w:t>
      </w:r>
      <w:r w:rsidRPr="00976F82">
        <w:t xml:space="preserve"> </w:t>
      </w:r>
      <w:proofErr w:type="spellStart"/>
      <w:r w:rsidRPr="00976F82">
        <w:t>overdiagnosis</w:t>
      </w:r>
      <w:proofErr w:type="spellEnd"/>
      <w:r w:rsidRPr="00976F82">
        <w:t>).</w:t>
      </w:r>
    </w:p>
    <w:p w14:paraId="0509075D" w14:textId="15E42DB8" w:rsidR="007E36E9" w:rsidRDefault="007E36E9" w:rsidP="007E36E9">
      <w:pPr>
        <w:pStyle w:val="Nadpis1"/>
      </w:pPr>
      <w:bookmarkStart w:id="33" w:name="_Toc188617815"/>
      <w:r>
        <w:t>Evaluace</w:t>
      </w:r>
      <w:bookmarkEnd w:id="33"/>
    </w:p>
    <w:p w14:paraId="7EA1F013" w14:textId="564660B2" w:rsidR="007E36E9" w:rsidRPr="001D1D12" w:rsidRDefault="007E36E9" w:rsidP="007E36E9">
      <w:pPr>
        <w:spacing w:before="0" w:after="200"/>
      </w:pPr>
      <w:r w:rsidRPr="001D1D12">
        <w:t xml:space="preserve">Vyšetřování poruch štítné žlázy v těhotenství u rizikových žen bude </w:t>
      </w:r>
      <w:r w:rsidRPr="001D1D12">
        <w:rPr>
          <w:b/>
          <w:bCs/>
        </w:rPr>
        <w:t>monitorováno</w:t>
      </w:r>
      <w:r w:rsidR="003413E0" w:rsidRPr="001D1D12">
        <w:rPr>
          <w:b/>
          <w:bCs/>
        </w:rPr>
        <w:t xml:space="preserve"> a </w:t>
      </w:r>
      <w:r w:rsidR="007D05A6" w:rsidRPr="001D1D12">
        <w:rPr>
          <w:b/>
          <w:bCs/>
        </w:rPr>
        <w:t>bude průběžně hodnocena jeho medicínská a ekonomická efektivita</w:t>
      </w:r>
      <w:r w:rsidRPr="001D1D12">
        <w:t xml:space="preserve"> za využití </w:t>
      </w:r>
      <w:r w:rsidRPr="001D1D12">
        <w:rPr>
          <w:b/>
          <w:bCs/>
        </w:rPr>
        <w:t>dat Národního zdravotnického informačního systému (NZIS)</w:t>
      </w:r>
      <w:r w:rsidRPr="001D1D12">
        <w:t>.</w:t>
      </w:r>
    </w:p>
    <w:p w14:paraId="25841146" w14:textId="77777777" w:rsidR="007E36E9" w:rsidRPr="001D1D12" w:rsidRDefault="007E36E9" w:rsidP="007E36E9">
      <w:pPr>
        <w:spacing w:before="0" w:after="200"/>
      </w:pPr>
      <w:r w:rsidRPr="001D1D12">
        <w:t xml:space="preserve">Součástí evaluace bude sledování níže uvedených ukazatelů, např. </w:t>
      </w:r>
    </w:p>
    <w:p w14:paraId="56977462" w14:textId="77777777" w:rsidR="007E36E9" w:rsidRPr="001D1D12" w:rsidRDefault="007E36E9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 w:rsidRPr="001D1D12">
        <w:t>Podíl žen, kterým bude provedeno vyšetření poruch štítné žlázy v těhotenství.</w:t>
      </w:r>
    </w:p>
    <w:p w14:paraId="0B58B829" w14:textId="77777777" w:rsidR="007E36E9" w:rsidRPr="001D1D12" w:rsidRDefault="007E36E9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 w:rsidRPr="001D1D12">
        <w:t>Podíl žen s pozitivním výsledkem „flexního“ laboratorního testu (dle ustanoveného algoritmu).</w:t>
      </w:r>
    </w:p>
    <w:p w14:paraId="659DA73A" w14:textId="629994AC" w:rsidR="007E36E9" w:rsidRPr="001D1D12" w:rsidRDefault="007E36E9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 w:rsidRPr="001D1D12">
        <w:t>Míra účasti žen s pozitivním výsledkem laboratorního testu v navazujícím vyšetření u</w:t>
      </w:r>
      <w:r w:rsidR="00B8472C" w:rsidRPr="001D1D12">
        <w:t> </w:t>
      </w:r>
      <w:r w:rsidRPr="001D1D12">
        <w:t xml:space="preserve">endokrinologa nebo certifikovaného diabetologa. </w:t>
      </w:r>
    </w:p>
    <w:p w14:paraId="6C254DF5" w14:textId="77777777" w:rsidR="007E36E9" w:rsidRPr="001D1D12" w:rsidRDefault="007E36E9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 w:rsidRPr="001D1D12">
        <w:t xml:space="preserve">Doba mezi pozitivním výsledkem testu a zahájením terapie (preskripcí </w:t>
      </w:r>
      <w:proofErr w:type="spellStart"/>
      <w:r w:rsidRPr="001D1D12">
        <w:t>levotyroxinu</w:t>
      </w:r>
      <w:proofErr w:type="spellEnd"/>
      <w:r w:rsidRPr="001D1D12">
        <w:t>).</w:t>
      </w:r>
    </w:p>
    <w:p w14:paraId="6E2CB3CD" w14:textId="5995CDD2" w:rsidR="007E36E9" w:rsidRPr="001D1D12" w:rsidRDefault="007E36E9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 w:rsidRPr="001D1D12">
        <w:t xml:space="preserve">Podíl žen se zavedenou léčbou </w:t>
      </w:r>
      <w:proofErr w:type="spellStart"/>
      <w:r w:rsidRPr="001D1D12">
        <w:t>levotyroxinem</w:t>
      </w:r>
      <w:proofErr w:type="spellEnd"/>
      <w:r w:rsidRPr="001D1D12">
        <w:t>, event. tyreostatiky (</w:t>
      </w:r>
      <w:proofErr w:type="spellStart"/>
      <w:r w:rsidRPr="001D1D12">
        <w:t>propylthiouracil</w:t>
      </w:r>
      <w:proofErr w:type="spellEnd"/>
      <w:r w:rsidRPr="001D1D12">
        <w:t xml:space="preserve"> a/nebo </w:t>
      </w:r>
      <w:proofErr w:type="spellStart"/>
      <w:r w:rsidRPr="001D1D12">
        <w:t>methimazol</w:t>
      </w:r>
      <w:proofErr w:type="spellEnd"/>
      <w:r w:rsidRPr="001D1D12">
        <w:t>)</w:t>
      </w:r>
      <w:r w:rsidR="00F10AF5" w:rsidRPr="001D1D12">
        <w:t>.</w:t>
      </w:r>
    </w:p>
    <w:p w14:paraId="43FAACCB" w14:textId="77777777" w:rsidR="007E36E9" w:rsidRPr="001D1D12" w:rsidRDefault="007E36E9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 w:rsidRPr="001D1D12">
        <w:t xml:space="preserve">Doba mezi pozitivním výsledkem a navazujícím vyšetřením u endokrinologa. </w:t>
      </w:r>
    </w:p>
    <w:p w14:paraId="02C3C230" w14:textId="77777777" w:rsidR="007E36E9" w:rsidRPr="001D1D12" w:rsidRDefault="007E36E9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 w:rsidRPr="001D1D12">
        <w:t>Podíl žen na navazujících kontrolních návštěvách u endokrinologa.</w:t>
      </w:r>
    </w:p>
    <w:p w14:paraId="6CD21102" w14:textId="1F2622D7" w:rsidR="0086603E" w:rsidRPr="001D1D12" w:rsidRDefault="00F977F5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 w:rsidRPr="001D1D12">
        <w:lastRenderedPageBreak/>
        <w:t>P</w:t>
      </w:r>
      <w:r w:rsidR="00C0596F" w:rsidRPr="001D1D12">
        <w:t>odíl žen s komplikacemi v těhotenství a po porodu</w:t>
      </w:r>
      <w:r w:rsidR="006E4DC0" w:rsidRPr="001D1D12">
        <w:t xml:space="preserve"> (potrat, </w:t>
      </w:r>
      <w:r w:rsidR="00EB0DC6" w:rsidRPr="001D1D12">
        <w:t>F</w:t>
      </w:r>
      <w:r w:rsidR="00EE496C" w:rsidRPr="001D1D12">
        <w:t xml:space="preserve">GR, gestační hypertenze, </w:t>
      </w:r>
      <w:r w:rsidR="00621F67" w:rsidRPr="001D1D12">
        <w:t xml:space="preserve">preeklampsie, </w:t>
      </w:r>
      <w:r w:rsidR="00EE496C" w:rsidRPr="001D1D12">
        <w:t xml:space="preserve">gestační diabetes </w:t>
      </w:r>
      <w:proofErr w:type="spellStart"/>
      <w:r w:rsidR="00EE496C" w:rsidRPr="001D1D12">
        <w:t>mellitus</w:t>
      </w:r>
      <w:proofErr w:type="spellEnd"/>
      <w:r w:rsidR="00EE496C" w:rsidRPr="001D1D12">
        <w:t>,</w:t>
      </w:r>
      <w:r w:rsidR="0032446B" w:rsidRPr="001D1D12">
        <w:t xml:space="preserve"> předčasný porod,</w:t>
      </w:r>
      <w:r w:rsidR="00621F67" w:rsidRPr="001D1D12">
        <w:t xml:space="preserve"> novorozenec na JIP, </w:t>
      </w:r>
      <w:r w:rsidR="0032446B" w:rsidRPr="001D1D12">
        <w:t>hypotyreóza u novorozence, a jiné).</w:t>
      </w:r>
      <w:r w:rsidR="006E4DC0" w:rsidRPr="001D1D12">
        <w:t xml:space="preserve"> </w:t>
      </w:r>
    </w:p>
    <w:p w14:paraId="2AFD6822" w14:textId="77777777" w:rsidR="007E36E9" w:rsidRDefault="007E36E9" w:rsidP="009618C1">
      <w:pPr>
        <w:pStyle w:val="Odstavecseseznamem"/>
        <w:numPr>
          <w:ilvl w:val="0"/>
          <w:numId w:val="23"/>
        </w:numPr>
        <w:spacing w:before="0" w:after="160" w:line="259" w:lineRule="auto"/>
      </w:pPr>
      <w:r>
        <w:t>Podíl žen předaných do dispenzární péče praktického lékaře po šestinedělí.</w:t>
      </w:r>
    </w:p>
    <w:p w14:paraId="7A230E91" w14:textId="5EF492DE" w:rsidR="00842F31" w:rsidRDefault="00842F31" w:rsidP="00842F31">
      <w:pPr>
        <w:spacing w:before="0" w:after="160" w:line="259" w:lineRule="auto"/>
      </w:pPr>
      <w:r w:rsidRPr="00842F31">
        <w:t xml:space="preserve">Kromě klíčových indikátorů kvality budou v rámci pilotní fáze sledovány rovněž vynaložené náklady související </w:t>
      </w:r>
      <w:r w:rsidR="00E46AC5">
        <w:t>s vyšetřením poruch štítné žlázy v těhotenství</w:t>
      </w:r>
      <w:r w:rsidRPr="00842F31">
        <w:t>. Konkrétně bude provedeno hodnocení dopadu do rozpočtu a nákladová efektivita, se zaměřením na celkový objem vyšetření, a také ve vztahu k počtu zachycených žen s pozitivním výsledkem, a k počtu zaléčených žen.</w:t>
      </w:r>
    </w:p>
    <w:p w14:paraId="4AAD0817" w14:textId="04C41B1E" w:rsidR="00172A67" w:rsidRDefault="00172A67" w:rsidP="0063334A">
      <w:pPr>
        <w:pStyle w:val="Nadpis2"/>
      </w:pPr>
      <w:bookmarkStart w:id="34" w:name="_Toc188617816"/>
      <w:r>
        <w:t>S</w:t>
      </w:r>
      <w:r w:rsidR="007E36E9">
        <w:t>běr dat do NZIS</w:t>
      </w:r>
      <w:bookmarkEnd w:id="34"/>
      <w:r w:rsidR="007E36E9">
        <w:t xml:space="preserve"> </w:t>
      </w:r>
    </w:p>
    <w:p w14:paraId="2C8DDF57" w14:textId="321B2C87" w:rsidR="007E36E9" w:rsidRDefault="00172A67" w:rsidP="0063334A">
      <w:pPr>
        <w:spacing w:before="0" w:after="360" w:line="276" w:lineRule="auto"/>
        <w:jc w:val="left"/>
      </w:pPr>
      <w:r>
        <w:t>Zdrojem dat bude Národní zdravotnický informační systém (NZIS), dle aktuálního nastavení zdravotních výkonů.</w:t>
      </w:r>
    </w:p>
    <w:p w14:paraId="0963ECBC" w14:textId="77777777" w:rsidR="007E36E9" w:rsidRDefault="007E36E9" w:rsidP="007E36E9">
      <w:pPr>
        <w:pStyle w:val="Nadpis1"/>
      </w:pPr>
      <w:bookmarkStart w:id="35" w:name="_Toc188617817"/>
      <w:r>
        <w:t>Použitá literatura</w:t>
      </w:r>
      <w:bookmarkEnd w:id="35"/>
    </w:p>
    <w:p w14:paraId="41F6C453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Abalovich</w:t>
      </w:r>
      <w:proofErr w:type="spellEnd"/>
      <w:r w:rsidRPr="00ED648B">
        <w:rPr>
          <w:rFonts w:cstheme="minorHAnsi"/>
          <w:sz w:val="20"/>
        </w:rPr>
        <w:t xml:space="preserve"> M, </w:t>
      </w:r>
      <w:proofErr w:type="spellStart"/>
      <w:r w:rsidRPr="00ED648B">
        <w:rPr>
          <w:rFonts w:cstheme="minorHAnsi"/>
          <w:sz w:val="20"/>
        </w:rPr>
        <w:t>Nobuyuki</w:t>
      </w:r>
      <w:proofErr w:type="spellEnd"/>
      <w:r w:rsidRPr="00ED648B">
        <w:rPr>
          <w:rFonts w:cstheme="minorHAnsi"/>
          <w:sz w:val="20"/>
        </w:rPr>
        <w:t xml:space="preserve"> A, </w:t>
      </w:r>
      <w:proofErr w:type="spellStart"/>
      <w:r w:rsidRPr="00ED648B">
        <w:rPr>
          <w:rFonts w:cstheme="minorHAnsi"/>
          <w:sz w:val="20"/>
        </w:rPr>
        <w:t>Barbour</w:t>
      </w:r>
      <w:proofErr w:type="spellEnd"/>
      <w:r w:rsidRPr="00ED648B">
        <w:rPr>
          <w:rFonts w:cstheme="minorHAnsi"/>
          <w:sz w:val="20"/>
        </w:rPr>
        <w:t xml:space="preserve"> LA et al. </w:t>
      </w:r>
      <w:proofErr w:type="spellStart"/>
      <w:r w:rsidRPr="00ED648B">
        <w:rPr>
          <w:rFonts w:cstheme="minorHAnsi"/>
          <w:sz w:val="20"/>
        </w:rPr>
        <w:t>Clinical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Practice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Guideline</w:t>
      </w:r>
      <w:proofErr w:type="spellEnd"/>
      <w:r w:rsidRPr="00ED648B">
        <w:rPr>
          <w:rFonts w:cstheme="minorHAnsi"/>
          <w:sz w:val="20"/>
        </w:rPr>
        <w:t xml:space="preserve">. Management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dysfunction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during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postpartum</w:t>
      </w:r>
      <w:proofErr w:type="spellEnd"/>
      <w:r w:rsidRPr="00ED648B">
        <w:rPr>
          <w:rFonts w:cstheme="minorHAnsi"/>
          <w:sz w:val="20"/>
        </w:rPr>
        <w:t xml:space="preserve">: </w:t>
      </w:r>
      <w:proofErr w:type="spellStart"/>
      <w:r w:rsidRPr="00ED648B">
        <w:rPr>
          <w:rFonts w:cstheme="minorHAnsi"/>
          <w:sz w:val="20"/>
        </w:rPr>
        <w:t>an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endocrine</w:t>
      </w:r>
      <w:proofErr w:type="spellEnd"/>
      <w:r w:rsidRPr="00ED648B">
        <w:rPr>
          <w:rFonts w:cstheme="minorHAnsi"/>
          <w:sz w:val="20"/>
        </w:rPr>
        <w:t xml:space="preserve"> society </w:t>
      </w:r>
      <w:proofErr w:type="spellStart"/>
      <w:r w:rsidRPr="00ED648B">
        <w:rPr>
          <w:rFonts w:cstheme="minorHAnsi"/>
          <w:sz w:val="20"/>
        </w:rPr>
        <w:t>clinical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practice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guideline</w:t>
      </w:r>
      <w:proofErr w:type="spellEnd"/>
      <w:r w:rsidRPr="00ED648B">
        <w:rPr>
          <w:rFonts w:cstheme="minorHAnsi"/>
          <w:sz w:val="20"/>
        </w:rPr>
        <w:t xml:space="preserve">. J </w:t>
      </w:r>
      <w:proofErr w:type="spellStart"/>
      <w:r w:rsidRPr="00ED648B">
        <w:rPr>
          <w:rFonts w:cstheme="minorHAnsi"/>
          <w:sz w:val="20"/>
        </w:rPr>
        <w:t>Clin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Endocrinol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Metab</w:t>
      </w:r>
      <w:proofErr w:type="spellEnd"/>
      <w:r w:rsidRPr="00ED648B">
        <w:rPr>
          <w:rFonts w:cstheme="minorHAnsi"/>
          <w:sz w:val="20"/>
        </w:rPr>
        <w:t xml:space="preserve">. 2007;92(8 </w:t>
      </w:r>
      <w:proofErr w:type="spellStart"/>
      <w:r w:rsidRPr="00ED648B">
        <w:rPr>
          <w:rFonts w:cstheme="minorHAnsi"/>
          <w:sz w:val="20"/>
        </w:rPr>
        <w:t>Suppl</w:t>
      </w:r>
      <w:proofErr w:type="spellEnd"/>
      <w:proofErr w:type="gramStart"/>
      <w:r w:rsidRPr="00ED648B">
        <w:rPr>
          <w:rFonts w:cstheme="minorHAnsi"/>
          <w:sz w:val="20"/>
        </w:rPr>
        <w:t>):S</w:t>
      </w:r>
      <w:proofErr w:type="gramEnd"/>
      <w:r w:rsidRPr="00ED648B">
        <w:rPr>
          <w:rFonts w:cstheme="minorHAnsi"/>
          <w:sz w:val="20"/>
        </w:rPr>
        <w:t>1–47.</w:t>
      </w:r>
    </w:p>
    <w:p w14:paraId="32D66F4E" w14:textId="77777777" w:rsidR="007E36E9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Abdel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Rahman</w:t>
      </w:r>
      <w:proofErr w:type="spellEnd"/>
      <w:r w:rsidRPr="00ED648B">
        <w:rPr>
          <w:rFonts w:cstheme="minorHAnsi"/>
          <w:sz w:val="20"/>
        </w:rPr>
        <w:t xml:space="preserve"> AH, Aly </w:t>
      </w:r>
      <w:proofErr w:type="spellStart"/>
      <w:r w:rsidRPr="00ED648B">
        <w:rPr>
          <w:rFonts w:cstheme="minorHAnsi"/>
          <w:sz w:val="20"/>
        </w:rPr>
        <w:t>Abbassy</w:t>
      </w:r>
      <w:proofErr w:type="spellEnd"/>
      <w:r w:rsidRPr="00ED648B">
        <w:rPr>
          <w:rFonts w:cstheme="minorHAnsi"/>
          <w:sz w:val="20"/>
        </w:rPr>
        <w:t xml:space="preserve"> H, </w:t>
      </w:r>
      <w:proofErr w:type="spellStart"/>
      <w:r w:rsidRPr="00ED648B">
        <w:rPr>
          <w:rFonts w:cstheme="minorHAnsi"/>
          <w:sz w:val="20"/>
        </w:rPr>
        <w:t>Abbassy</w:t>
      </w:r>
      <w:proofErr w:type="spellEnd"/>
      <w:r w:rsidRPr="00ED648B">
        <w:rPr>
          <w:rFonts w:cstheme="minorHAnsi"/>
          <w:sz w:val="20"/>
        </w:rPr>
        <w:t xml:space="preserve"> AA. </w:t>
      </w:r>
      <w:proofErr w:type="spellStart"/>
      <w:r w:rsidRPr="00ED648B">
        <w:rPr>
          <w:rFonts w:cstheme="minorHAnsi"/>
          <w:sz w:val="20"/>
        </w:rPr>
        <w:t>Improved</w:t>
      </w:r>
      <w:proofErr w:type="spellEnd"/>
      <w:r w:rsidRPr="00ED648B">
        <w:rPr>
          <w:rFonts w:cstheme="minorHAnsi"/>
          <w:sz w:val="20"/>
        </w:rPr>
        <w:t xml:space="preserve"> in vitro </w:t>
      </w:r>
      <w:proofErr w:type="spellStart"/>
      <w:r w:rsidRPr="00ED648B">
        <w:rPr>
          <w:rFonts w:cstheme="minorHAnsi"/>
          <w:sz w:val="20"/>
        </w:rPr>
        <w:t>fertilization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outcomes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after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treatment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subclinical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hypothyroidism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infertile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women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spellStart"/>
      <w:r w:rsidRPr="00ED648B">
        <w:rPr>
          <w:rFonts w:cstheme="minorHAnsi"/>
          <w:sz w:val="20"/>
        </w:rPr>
        <w:t>Endocr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Pract</w:t>
      </w:r>
      <w:proofErr w:type="spellEnd"/>
      <w:r w:rsidRPr="00ED648B">
        <w:rPr>
          <w:rFonts w:cstheme="minorHAnsi"/>
          <w:sz w:val="20"/>
        </w:rPr>
        <w:t>. 2010;16(5):792–7.</w:t>
      </w:r>
    </w:p>
    <w:p w14:paraId="488A280A" w14:textId="77777777" w:rsidR="00BB6945" w:rsidRDefault="00BB6945" w:rsidP="007E36E9">
      <w:pPr>
        <w:rPr>
          <w:rFonts w:cstheme="minorHAnsi"/>
          <w:sz w:val="20"/>
        </w:rPr>
      </w:pPr>
      <w:r w:rsidRPr="00BB6945">
        <w:rPr>
          <w:rFonts w:cstheme="minorHAnsi"/>
          <w:sz w:val="20"/>
        </w:rPr>
        <w:t xml:space="preserve">Alexander EK, </w:t>
      </w:r>
      <w:proofErr w:type="spellStart"/>
      <w:r w:rsidRPr="00BB6945">
        <w:rPr>
          <w:rFonts w:cstheme="minorHAnsi"/>
          <w:sz w:val="20"/>
        </w:rPr>
        <w:t>Pearce</w:t>
      </w:r>
      <w:proofErr w:type="spellEnd"/>
      <w:r w:rsidRPr="00BB6945">
        <w:rPr>
          <w:rFonts w:cstheme="minorHAnsi"/>
          <w:sz w:val="20"/>
        </w:rPr>
        <w:t xml:space="preserve"> EN, Brent GA, Brown RS, </w:t>
      </w:r>
      <w:proofErr w:type="spellStart"/>
      <w:r w:rsidRPr="00BB6945">
        <w:rPr>
          <w:rFonts w:cstheme="minorHAnsi"/>
          <w:sz w:val="20"/>
        </w:rPr>
        <w:t>Chen</w:t>
      </w:r>
      <w:proofErr w:type="spellEnd"/>
      <w:r w:rsidRPr="00BB6945">
        <w:rPr>
          <w:rFonts w:cstheme="minorHAnsi"/>
          <w:sz w:val="20"/>
        </w:rPr>
        <w:t xml:space="preserve"> H, </w:t>
      </w:r>
      <w:proofErr w:type="spellStart"/>
      <w:r w:rsidRPr="00BB6945">
        <w:rPr>
          <w:rFonts w:cstheme="minorHAnsi"/>
          <w:sz w:val="20"/>
        </w:rPr>
        <w:t>Dosiou</w:t>
      </w:r>
      <w:proofErr w:type="spellEnd"/>
      <w:r w:rsidRPr="00BB6945">
        <w:rPr>
          <w:rFonts w:cstheme="minorHAnsi"/>
          <w:sz w:val="20"/>
        </w:rPr>
        <w:t xml:space="preserve"> C, </w:t>
      </w:r>
      <w:proofErr w:type="spellStart"/>
      <w:r w:rsidRPr="00BB6945">
        <w:rPr>
          <w:rFonts w:cstheme="minorHAnsi"/>
          <w:sz w:val="20"/>
        </w:rPr>
        <w:t>Grobman</w:t>
      </w:r>
      <w:proofErr w:type="spellEnd"/>
      <w:r w:rsidRPr="00BB6945">
        <w:rPr>
          <w:rFonts w:cstheme="minorHAnsi"/>
          <w:sz w:val="20"/>
        </w:rPr>
        <w:t xml:space="preserve"> WA, </w:t>
      </w:r>
      <w:proofErr w:type="spellStart"/>
      <w:r w:rsidRPr="00BB6945">
        <w:rPr>
          <w:rFonts w:cstheme="minorHAnsi"/>
          <w:sz w:val="20"/>
        </w:rPr>
        <w:t>Laurberg</w:t>
      </w:r>
      <w:proofErr w:type="spellEnd"/>
      <w:r w:rsidRPr="00BB6945">
        <w:rPr>
          <w:rFonts w:cstheme="minorHAnsi"/>
          <w:sz w:val="20"/>
        </w:rPr>
        <w:t xml:space="preserve"> P, </w:t>
      </w:r>
      <w:proofErr w:type="spellStart"/>
      <w:r w:rsidRPr="00BB6945">
        <w:rPr>
          <w:rFonts w:cstheme="minorHAnsi"/>
          <w:sz w:val="20"/>
        </w:rPr>
        <w:t>Lazarus</w:t>
      </w:r>
      <w:proofErr w:type="spellEnd"/>
      <w:r w:rsidRPr="00BB6945">
        <w:rPr>
          <w:rFonts w:cstheme="minorHAnsi"/>
          <w:sz w:val="20"/>
        </w:rPr>
        <w:t xml:space="preserve"> JH, Mandel SJ, </w:t>
      </w:r>
      <w:proofErr w:type="spellStart"/>
      <w:r w:rsidRPr="00BB6945">
        <w:rPr>
          <w:rFonts w:cstheme="minorHAnsi"/>
          <w:sz w:val="20"/>
        </w:rPr>
        <w:t>Peeters</w:t>
      </w:r>
      <w:proofErr w:type="spellEnd"/>
      <w:r w:rsidRPr="00BB6945">
        <w:rPr>
          <w:rFonts w:cstheme="minorHAnsi"/>
          <w:sz w:val="20"/>
        </w:rPr>
        <w:t xml:space="preserve"> RP, </w:t>
      </w:r>
      <w:proofErr w:type="spellStart"/>
      <w:r w:rsidRPr="00BB6945">
        <w:rPr>
          <w:rFonts w:cstheme="minorHAnsi"/>
          <w:sz w:val="20"/>
        </w:rPr>
        <w:t>Sullivan</w:t>
      </w:r>
      <w:proofErr w:type="spellEnd"/>
      <w:r w:rsidRPr="00BB6945">
        <w:rPr>
          <w:rFonts w:cstheme="minorHAnsi"/>
          <w:sz w:val="20"/>
        </w:rPr>
        <w:t xml:space="preserve"> S. 2017 </w:t>
      </w:r>
      <w:proofErr w:type="spellStart"/>
      <w:r w:rsidRPr="00BB6945">
        <w:rPr>
          <w:rFonts w:cstheme="minorHAnsi"/>
          <w:sz w:val="20"/>
        </w:rPr>
        <w:t>Guidelines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of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the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American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Thyroid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Association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for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the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Diagnosis</w:t>
      </w:r>
      <w:proofErr w:type="spellEnd"/>
      <w:r w:rsidRPr="00BB6945">
        <w:rPr>
          <w:rFonts w:cstheme="minorHAnsi"/>
          <w:sz w:val="20"/>
        </w:rPr>
        <w:t xml:space="preserve"> and Management </w:t>
      </w:r>
      <w:proofErr w:type="spellStart"/>
      <w:r w:rsidRPr="00BB6945">
        <w:rPr>
          <w:rFonts w:cstheme="minorHAnsi"/>
          <w:sz w:val="20"/>
        </w:rPr>
        <w:t>of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Thyroid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Disease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During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Pregnancy</w:t>
      </w:r>
      <w:proofErr w:type="spellEnd"/>
      <w:r w:rsidRPr="00BB6945">
        <w:rPr>
          <w:rFonts w:cstheme="minorHAnsi"/>
          <w:sz w:val="20"/>
        </w:rPr>
        <w:t xml:space="preserve"> and </w:t>
      </w:r>
      <w:proofErr w:type="spellStart"/>
      <w:r w:rsidRPr="00BB6945">
        <w:rPr>
          <w:rFonts w:cstheme="minorHAnsi"/>
          <w:sz w:val="20"/>
        </w:rPr>
        <w:t>the</w:t>
      </w:r>
      <w:proofErr w:type="spellEnd"/>
      <w:r w:rsidRPr="00BB6945">
        <w:rPr>
          <w:rFonts w:cstheme="minorHAnsi"/>
          <w:sz w:val="20"/>
        </w:rPr>
        <w:t xml:space="preserve"> </w:t>
      </w:r>
      <w:proofErr w:type="spellStart"/>
      <w:r w:rsidRPr="00BB6945">
        <w:rPr>
          <w:rFonts w:cstheme="minorHAnsi"/>
          <w:sz w:val="20"/>
        </w:rPr>
        <w:t>Postpartum</w:t>
      </w:r>
      <w:proofErr w:type="spellEnd"/>
      <w:r w:rsidRPr="00BB6945">
        <w:rPr>
          <w:rFonts w:cstheme="minorHAnsi"/>
          <w:sz w:val="20"/>
        </w:rPr>
        <w:t xml:space="preserve">. </w:t>
      </w:r>
      <w:proofErr w:type="spellStart"/>
      <w:r w:rsidRPr="00BB6945">
        <w:rPr>
          <w:rFonts w:cstheme="minorHAnsi"/>
          <w:sz w:val="20"/>
        </w:rPr>
        <w:t>Thyroid</w:t>
      </w:r>
      <w:proofErr w:type="spellEnd"/>
      <w:r w:rsidRPr="00BB6945">
        <w:rPr>
          <w:rFonts w:cstheme="minorHAnsi"/>
          <w:sz w:val="20"/>
        </w:rPr>
        <w:t xml:space="preserve">. 2017 Mar;27(3):315-389. </w:t>
      </w:r>
    </w:p>
    <w:p w14:paraId="6778E44B" w14:textId="3F660993" w:rsidR="007E36E9" w:rsidRPr="00ED648B" w:rsidRDefault="007E36E9" w:rsidP="007E36E9">
      <w:pPr>
        <w:rPr>
          <w:rFonts w:cstheme="minorHAnsi"/>
          <w:sz w:val="20"/>
        </w:rPr>
      </w:pPr>
      <w:r>
        <w:rPr>
          <w:rFonts w:cstheme="minorHAnsi"/>
          <w:sz w:val="20"/>
        </w:rPr>
        <w:t xml:space="preserve">Analytická zpráva pilotního projektu Časný záchyt </w:t>
      </w:r>
      <w:proofErr w:type="spellStart"/>
      <w:r>
        <w:rPr>
          <w:rFonts w:cstheme="minorHAnsi"/>
          <w:sz w:val="20"/>
        </w:rPr>
        <w:t>tyreopatií</w:t>
      </w:r>
      <w:proofErr w:type="spellEnd"/>
      <w:r>
        <w:rPr>
          <w:rFonts w:cstheme="minorHAnsi"/>
          <w:sz w:val="20"/>
        </w:rPr>
        <w:t xml:space="preserve"> v těhotenství, </w:t>
      </w:r>
      <w:r w:rsidR="00923978">
        <w:rPr>
          <w:rFonts w:cstheme="minorHAnsi"/>
          <w:sz w:val="20"/>
        </w:rPr>
        <w:t xml:space="preserve">2022: </w:t>
      </w:r>
      <w:hyperlink r:id="rId15" w:history="1">
        <w:r w:rsidR="00923978" w:rsidRPr="00D45E66">
          <w:rPr>
            <w:rStyle w:val="Hypertextovodkaz"/>
            <w:rFonts w:cstheme="minorHAnsi"/>
            <w:sz w:val="20"/>
          </w:rPr>
          <w:t>https://nsc.uzis.cz/res/file/projekty/tyreopatie/tyreopatie-analyticka-zprava.pdf</w:t>
        </w:r>
      </w:hyperlink>
      <w:r>
        <w:rPr>
          <w:rFonts w:cstheme="minorHAnsi"/>
          <w:sz w:val="20"/>
        </w:rPr>
        <w:t xml:space="preserve"> </w:t>
      </w:r>
    </w:p>
    <w:p w14:paraId="23DAECBC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Bartakova</w:t>
      </w:r>
      <w:proofErr w:type="spellEnd"/>
      <w:r w:rsidRPr="00ED648B">
        <w:rPr>
          <w:rFonts w:cstheme="minorHAnsi"/>
          <w:sz w:val="20"/>
        </w:rPr>
        <w:t xml:space="preserve"> J, </w:t>
      </w:r>
      <w:proofErr w:type="spellStart"/>
      <w:r w:rsidRPr="00ED648B">
        <w:rPr>
          <w:rFonts w:cstheme="minorHAnsi"/>
          <w:sz w:val="20"/>
        </w:rPr>
        <w:t>Kratky</w:t>
      </w:r>
      <w:proofErr w:type="spellEnd"/>
      <w:r w:rsidRPr="00ED648B">
        <w:rPr>
          <w:rFonts w:cstheme="minorHAnsi"/>
          <w:sz w:val="20"/>
        </w:rPr>
        <w:t xml:space="preserve"> J, </w:t>
      </w:r>
      <w:proofErr w:type="spellStart"/>
      <w:r w:rsidRPr="00ED648B">
        <w:rPr>
          <w:rFonts w:cstheme="minorHAnsi"/>
          <w:sz w:val="20"/>
        </w:rPr>
        <w:t>Vitkova</w:t>
      </w:r>
      <w:proofErr w:type="spellEnd"/>
      <w:r w:rsidRPr="00ED648B">
        <w:rPr>
          <w:rFonts w:cstheme="minorHAnsi"/>
          <w:sz w:val="20"/>
        </w:rPr>
        <w:t xml:space="preserve"> H, </w:t>
      </w:r>
      <w:proofErr w:type="spellStart"/>
      <w:r w:rsidRPr="00ED648B">
        <w:rPr>
          <w:rFonts w:cstheme="minorHAnsi"/>
          <w:sz w:val="20"/>
        </w:rPr>
        <w:t>Limanova</w:t>
      </w:r>
      <w:proofErr w:type="spellEnd"/>
      <w:r w:rsidRPr="00ED648B">
        <w:rPr>
          <w:rFonts w:cstheme="minorHAnsi"/>
          <w:sz w:val="20"/>
        </w:rPr>
        <w:t xml:space="preserve"> Z, </w:t>
      </w:r>
      <w:proofErr w:type="spellStart"/>
      <w:r w:rsidRPr="00ED648B">
        <w:rPr>
          <w:rFonts w:cstheme="minorHAnsi"/>
          <w:sz w:val="20"/>
        </w:rPr>
        <w:t>Khwaja</w:t>
      </w:r>
      <w:proofErr w:type="spellEnd"/>
      <w:r w:rsidRPr="00ED648B">
        <w:rPr>
          <w:rFonts w:cstheme="minorHAnsi"/>
          <w:sz w:val="20"/>
        </w:rPr>
        <w:t xml:space="preserve"> KZ, Jiskra J. </w:t>
      </w:r>
      <w:proofErr w:type="spellStart"/>
      <w:r w:rsidRPr="00ED648B">
        <w:rPr>
          <w:rFonts w:cstheme="minorHAnsi"/>
          <w:sz w:val="20"/>
        </w:rPr>
        <w:t>Overtesting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women</w:t>
      </w:r>
      <w:proofErr w:type="spellEnd"/>
      <w:r w:rsidRPr="00ED648B">
        <w:rPr>
          <w:rFonts w:cstheme="minorHAnsi"/>
          <w:sz w:val="20"/>
        </w:rPr>
        <w:t xml:space="preserve"> on </w:t>
      </w:r>
      <w:proofErr w:type="spellStart"/>
      <w:r w:rsidRPr="00ED648B">
        <w:rPr>
          <w:rFonts w:cstheme="minorHAnsi"/>
          <w:sz w:val="20"/>
        </w:rPr>
        <w:t>levothyroxine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treatment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during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>. AIJCSR. 2105;2(3):17-25.</w:t>
      </w:r>
    </w:p>
    <w:p w14:paraId="20B8B9D2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Bein</w:t>
      </w:r>
      <w:proofErr w:type="spellEnd"/>
      <w:r w:rsidRPr="004C6EC1">
        <w:rPr>
          <w:rFonts w:cstheme="minorHAnsi"/>
          <w:sz w:val="20"/>
        </w:rPr>
        <w:t xml:space="preserve"> M, </w:t>
      </w:r>
      <w:proofErr w:type="spellStart"/>
      <w:r w:rsidRPr="004C6EC1">
        <w:rPr>
          <w:rFonts w:cstheme="minorHAnsi"/>
          <w:sz w:val="20"/>
        </w:rPr>
        <w:t>Yu</w:t>
      </w:r>
      <w:proofErr w:type="spellEnd"/>
      <w:r w:rsidRPr="004C6EC1">
        <w:rPr>
          <w:rFonts w:cstheme="minorHAnsi"/>
          <w:sz w:val="20"/>
        </w:rPr>
        <w:t xml:space="preserve"> OHY, Grandi SM, </w:t>
      </w:r>
      <w:proofErr w:type="spellStart"/>
      <w:r w:rsidRPr="004C6EC1">
        <w:rPr>
          <w:rFonts w:cstheme="minorHAnsi"/>
          <w:sz w:val="20"/>
        </w:rPr>
        <w:t>Frati</w:t>
      </w:r>
      <w:proofErr w:type="spellEnd"/>
      <w:r w:rsidRPr="004C6EC1">
        <w:rPr>
          <w:rFonts w:cstheme="minorHAnsi"/>
          <w:sz w:val="20"/>
        </w:rPr>
        <w:t xml:space="preserve"> FYE, </w:t>
      </w:r>
      <w:proofErr w:type="spellStart"/>
      <w:r w:rsidRPr="004C6EC1">
        <w:rPr>
          <w:rFonts w:cstheme="minorHAnsi"/>
          <w:sz w:val="20"/>
        </w:rPr>
        <w:t>Kandil</w:t>
      </w:r>
      <w:proofErr w:type="spellEnd"/>
      <w:r w:rsidRPr="004C6EC1">
        <w:rPr>
          <w:rFonts w:cstheme="minorHAnsi"/>
          <w:sz w:val="20"/>
        </w:rPr>
        <w:t xml:space="preserve"> I, </w:t>
      </w:r>
      <w:proofErr w:type="spellStart"/>
      <w:r w:rsidRPr="004C6EC1">
        <w:rPr>
          <w:rFonts w:cstheme="minorHAnsi"/>
          <w:sz w:val="20"/>
        </w:rPr>
        <w:t>Filion</w:t>
      </w:r>
      <w:proofErr w:type="spellEnd"/>
      <w:r w:rsidRPr="004C6EC1">
        <w:rPr>
          <w:rFonts w:cstheme="minorHAnsi"/>
          <w:sz w:val="20"/>
        </w:rPr>
        <w:t xml:space="preserve"> KB.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the</w:t>
      </w:r>
      <w:proofErr w:type="spellEnd"/>
      <w:r w:rsidRPr="004C6EC1">
        <w:rPr>
          <w:rFonts w:cstheme="minorHAnsi"/>
          <w:sz w:val="20"/>
        </w:rPr>
        <w:t xml:space="preserve"> risk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adverse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outcomes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women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with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: a 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 xml:space="preserve"> and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. BMC </w:t>
      </w:r>
      <w:proofErr w:type="spellStart"/>
      <w:r w:rsidRPr="004C6EC1">
        <w:rPr>
          <w:rFonts w:cstheme="minorHAnsi"/>
          <w:sz w:val="20"/>
        </w:rPr>
        <w:t>Endocr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Disord</w:t>
      </w:r>
      <w:proofErr w:type="spellEnd"/>
      <w:r w:rsidRPr="004C6EC1">
        <w:rPr>
          <w:rFonts w:cstheme="minorHAnsi"/>
          <w:sz w:val="20"/>
        </w:rPr>
        <w:t xml:space="preserve">. 2021 </w:t>
      </w:r>
      <w:proofErr w:type="spellStart"/>
      <w:r w:rsidRPr="004C6EC1">
        <w:rPr>
          <w:rFonts w:cstheme="minorHAnsi"/>
          <w:sz w:val="20"/>
        </w:rPr>
        <w:t>Feb</w:t>
      </w:r>
      <w:proofErr w:type="spellEnd"/>
      <w:r w:rsidRPr="004C6EC1">
        <w:rPr>
          <w:rFonts w:cstheme="minorHAnsi"/>
          <w:sz w:val="20"/>
        </w:rPr>
        <w:t xml:space="preserve"> 27;21(1):34. </w:t>
      </w:r>
    </w:p>
    <w:p w14:paraId="69BD78BD" w14:textId="77777777" w:rsidR="007E36E9" w:rsidRPr="00ED648B" w:rsidRDefault="007E36E9" w:rsidP="007E36E9">
      <w:pPr>
        <w:rPr>
          <w:rFonts w:cstheme="minorHAnsi"/>
          <w:sz w:val="20"/>
        </w:rPr>
      </w:pPr>
      <w:r w:rsidRPr="00ED648B">
        <w:rPr>
          <w:rFonts w:cstheme="minorHAnsi"/>
          <w:sz w:val="20"/>
        </w:rPr>
        <w:t xml:space="preserve">Cooper DS, </w:t>
      </w:r>
      <w:proofErr w:type="spellStart"/>
      <w:r w:rsidRPr="00ED648B">
        <w:rPr>
          <w:rFonts w:cstheme="minorHAnsi"/>
          <w:sz w:val="20"/>
        </w:rPr>
        <w:t>Doherty</w:t>
      </w:r>
      <w:proofErr w:type="spellEnd"/>
      <w:r w:rsidRPr="00ED648B">
        <w:rPr>
          <w:rFonts w:cstheme="minorHAnsi"/>
          <w:sz w:val="20"/>
        </w:rPr>
        <w:t xml:space="preserve"> GM, </w:t>
      </w:r>
      <w:proofErr w:type="spellStart"/>
      <w:r w:rsidRPr="00ED648B">
        <w:rPr>
          <w:rFonts w:cstheme="minorHAnsi"/>
          <w:sz w:val="20"/>
        </w:rPr>
        <w:t>Haugen</w:t>
      </w:r>
      <w:proofErr w:type="spellEnd"/>
      <w:r w:rsidRPr="00ED648B">
        <w:rPr>
          <w:rFonts w:cstheme="minorHAnsi"/>
          <w:sz w:val="20"/>
        </w:rPr>
        <w:t xml:space="preserve"> BR, et al.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Association</w:t>
      </w:r>
      <w:proofErr w:type="spellEnd"/>
      <w:r w:rsidRPr="00ED648B">
        <w:rPr>
          <w:rFonts w:cstheme="minorHAnsi"/>
          <w:sz w:val="20"/>
        </w:rPr>
        <w:t xml:space="preserve"> (ATA) </w:t>
      </w:r>
      <w:proofErr w:type="spellStart"/>
      <w:r w:rsidRPr="00ED648B">
        <w:rPr>
          <w:rFonts w:cstheme="minorHAnsi"/>
          <w:sz w:val="20"/>
        </w:rPr>
        <w:t>Guidelines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Taskforce</w:t>
      </w:r>
      <w:proofErr w:type="spellEnd"/>
      <w:r w:rsidRPr="00ED648B">
        <w:rPr>
          <w:rFonts w:cstheme="minorHAnsi"/>
          <w:sz w:val="20"/>
        </w:rPr>
        <w:t xml:space="preserve"> on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Nodules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Differentiated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Cancer</w:t>
      </w:r>
      <w:proofErr w:type="spellEnd"/>
      <w:r w:rsidRPr="00ED648B">
        <w:rPr>
          <w:rFonts w:cstheme="minorHAnsi"/>
          <w:sz w:val="20"/>
        </w:rPr>
        <w:t xml:space="preserve">, </w:t>
      </w:r>
      <w:proofErr w:type="spellStart"/>
      <w:r w:rsidRPr="00ED648B">
        <w:rPr>
          <w:rFonts w:cstheme="minorHAnsi"/>
          <w:sz w:val="20"/>
        </w:rPr>
        <w:t>Revised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American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Association</w:t>
      </w:r>
      <w:proofErr w:type="spellEnd"/>
      <w:r w:rsidRPr="00ED648B">
        <w:rPr>
          <w:rFonts w:cstheme="minorHAnsi"/>
          <w:sz w:val="20"/>
        </w:rPr>
        <w:t xml:space="preserve"> management </w:t>
      </w:r>
      <w:proofErr w:type="spellStart"/>
      <w:r w:rsidRPr="00ED648B">
        <w:rPr>
          <w:rFonts w:cstheme="minorHAnsi"/>
          <w:sz w:val="20"/>
        </w:rPr>
        <w:t>guidelines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for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patients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with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nodules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differentiated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cancer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2009;19:1167</w:t>
      </w:r>
      <w:proofErr w:type="gramEnd"/>
      <w:r w:rsidRPr="00ED648B">
        <w:rPr>
          <w:rFonts w:cstheme="minorHAnsi"/>
          <w:sz w:val="20"/>
        </w:rPr>
        <w:t>–214.</w:t>
      </w:r>
    </w:p>
    <w:p w14:paraId="24CDE77E" w14:textId="77777777" w:rsidR="007E36E9" w:rsidRPr="00ED648B" w:rsidRDefault="007E36E9" w:rsidP="007E36E9">
      <w:pPr>
        <w:rPr>
          <w:rFonts w:cstheme="minorHAnsi"/>
          <w:sz w:val="20"/>
        </w:rPr>
      </w:pPr>
      <w:r w:rsidRPr="00ED648B">
        <w:rPr>
          <w:rFonts w:cstheme="minorHAnsi"/>
          <w:sz w:val="20"/>
        </w:rPr>
        <w:t xml:space="preserve">De </w:t>
      </w:r>
      <w:proofErr w:type="spellStart"/>
      <w:r w:rsidRPr="00ED648B">
        <w:rPr>
          <w:rFonts w:cstheme="minorHAnsi"/>
          <w:sz w:val="20"/>
        </w:rPr>
        <w:t>Groot</w:t>
      </w:r>
      <w:proofErr w:type="spellEnd"/>
      <w:r w:rsidRPr="00ED648B">
        <w:rPr>
          <w:rFonts w:cstheme="minorHAnsi"/>
          <w:sz w:val="20"/>
        </w:rPr>
        <w:t xml:space="preserve"> L, </w:t>
      </w:r>
      <w:proofErr w:type="spellStart"/>
      <w:r w:rsidRPr="00ED648B">
        <w:rPr>
          <w:rFonts w:cstheme="minorHAnsi"/>
          <w:sz w:val="20"/>
        </w:rPr>
        <w:t>Abalovich</w:t>
      </w:r>
      <w:proofErr w:type="spellEnd"/>
      <w:r w:rsidRPr="00ED648B">
        <w:rPr>
          <w:rFonts w:cstheme="minorHAnsi"/>
          <w:sz w:val="20"/>
        </w:rPr>
        <w:t xml:space="preserve"> M, Alexander EK et al. Management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dysfunction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during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postpartum</w:t>
      </w:r>
      <w:proofErr w:type="spellEnd"/>
      <w:r w:rsidRPr="00ED648B">
        <w:rPr>
          <w:rFonts w:cstheme="minorHAnsi"/>
          <w:sz w:val="20"/>
        </w:rPr>
        <w:t xml:space="preserve">: </w:t>
      </w:r>
      <w:proofErr w:type="spellStart"/>
      <w:r w:rsidRPr="00ED648B">
        <w:rPr>
          <w:rFonts w:cstheme="minorHAnsi"/>
          <w:sz w:val="20"/>
        </w:rPr>
        <w:t>an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Endocrine</w:t>
      </w:r>
      <w:proofErr w:type="spellEnd"/>
      <w:r w:rsidRPr="00ED648B">
        <w:rPr>
          <w:rFonts w:cstheme="minorHAnsi"/>
          <w:sz w:val="20"/>
        </w:rPr>
        <w:t xml:space="preserve"> Society </w:t>
      </w:r>
      <w:proofErr w:type="spellStart"/>
      <w:r w:rsidRPr="00ED648B">
        <w:rPr>
          <w:rFonts w:cstheme="minorHAnsi"/>
          <w:sz w:val="20"/>
        </w:rPr>
        <w:t>clinical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practice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guideline</w:t>
      </w:r>
      <w:proofErr w:type="spellEnd"/>
      <w:r w:rsidRPr="00ED648B">
        <w:rPr>
          <w:rFonts w:cstheme="minorHAnsi"/>
          <w:sz w:val="20"/>
        </w:rPr>
        <w:t xml:space="preserve">. J </w:t>
      </w:r>
      <w:proofErr w:type="spellStart"/>
      <w:r w:rsidRPr="00ED648B">
        <w:rPr>
          <w:rFonts w:cstheme="minorHAnsi"/>
          <w:sz w:val="20"/>
        </w:rPr>
        <w:t>Clin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Endocrinol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Metab</w:t>
      </w:r>
      <w:proofErr w:type="spellEnd"/>
      <w:r w:rsidRPr="00ED648B">
        <w:rPr>
          <w:rFonts w:cstheme="minorHAnsi"/>
          <w:sz w:val="20"/>
        </w:rPr>
        <w:t>. 2012;97(8):2543–65.</w:t>
      </w:r>
    </w:p>
    <w:p w14:paraId="0A3697C8" w14:textId="77777777" w:rsidR="007E36E9" w:rsidRPr="004C6EC1" w:rsidRDefault="007E36E9" w:rsidP="007E36E9">
      <w:pPr>
        <w:rPr>
          <w:rFonts w:cstheme="minorHAnsi"/>
          <w:sz w:val="20"/>
        </w:rPr>
      </w:pPr>
      <w:r w:rsidRPr="004C6EC1">
        <w:rPr>
          <w:rFonts w:cstheme="minorHAnsi"/>
          <w:sz w:val="20"/>
        </w:rPr>
        <w:t xml:space="preserve">Ding Z, </w:t>
      </w:r>
      <w:proofErr w:type="spellStart"/>
      <w:r w:rsidRPr="004C6EC1">
        <w:rPr>
          <w:rFonts w:cstheme="minorHAnsi"/>
          <w:sz w:val="20"/>
        </w:rPr>
        <w:t>Liu</w:t>
      </w:r>
      <w:proofErr w:type="spellEnd"/>
      <w:r w:rsidRPr="004C6EC1">
        <w:rPr>
          <w:rFonts w:cstheme="minorHAnsi"/>
          <w:sz w:val="20"/>
        </w:rPr>
        <w:t xml:space="preserve"> Y, </w:t>
      </w:r>
      <w:proofErr w:type="spellStart"/>
      <w:r w:rsidRPr="004C6EC1">
        <w:rPr>
          <w:rFonts w:cstheme="minorHAnsi"/>
          <w:sz w:val="20"/>
        </w:rPr>
        <w:t>Maraka</w:t>
      </w:r>
      <w:proofErr w:type="spellEnd"/>
      <w:r w:rsidRPr="004C6EC1">
        <w:rPr>
          <w:rFonts w:cstheme="minorHAnsi"/>
          <w:sz w:val="20"/>
        </w:rPr>
        <w:t xml:space="preserve"> S, </w:t>
      </w:r>
      <w:proofErr w:type="spellStart"/>
      <w:r w:rsidRPr="004C6EC1">
        <w:rPr>
          <w:rFonts w:cstheme="minorHAnsi"/>
          <w:sz w:val="20"/>
        </w:rPr>
        <w:t>Abdelouahab</w:t>
      </w:r>
      <w:proofErr w:type="spellEnd"/>
      <w:r w:rsidRPr="004C6EC1">
        <w:rPr>
          <w:rFonts w:cstheme="minorHAnsi"/>
          <w:sz w:val="20"/>
        </w:rPr>
        <w:t xml:space="preserve"> N, </w:t>
      </w:r>
      <w:proofErr w:type="spellStart"/>
      <w:r w:rsidRPr="004C6EC1">
        <w:rPr>
          <w:rFonts w:cstheme="minorHAnsi"/>
          <w:sz w:val="20"/>
        </w:rPr>
        <w:t>Huang</w:t>
      </w:r>
      <w:proofErr w:type="spellEnd"/>
      <w:r w:rsidRPr="004C6EC1">
        <w:rPr>
          <w:rFonts w:cstheme="minorHAnsi"/>
          <w:sz w:val="20"/>
        </w:rPr>
        <w:t xml:space="preserve"> HF, </w:t>
      </w:r>
      <w:proofErr w:type="spellStart"/>
      <w:r w:rsidRPr="004C6EC1">
        <w:rPr>
          <w:rFonts w:cstheme="minorHAnsi"/>
          <w:sz w:val="20"/>
        </w:rPr>
        <w:t>Fraser</w:t>
      </w:r>
      <w:proofErr w:type="spellEnd"/>
      <w:r w:rsidRPr="004C6EC1">
        <w:rPr>
          <w:rFonts w:cstheme="minorHAnsi"/>
          <w:sz w:val="20"/>
        </w:rPr>
        <w:t xml:space="preserve"> WD, </w:t>
      </w:r>
      <w:proofErr w:type="spellStart"/>
      <w:r w:rsidRPr="004C6EC1">
        <w:rPr>
          <w:rFonts w:cstheme="minorHAnsi"/>
          <w:sz w:val="20"/>
        </w:rPr>
        <w:t>Fan</w:t>
      </w:r>
      <w:proofErr w:type="spellEnd"/>
      <w:r w:rsidRPr="004C6EC1">
        <w:rPr>
          <w:rFonts w:cstheme="minorHAnsi"/>
          <w:sz w:val="20"/>
        </w:rPr>
        <w:t xml:space="preserve"> J.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Neonatal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Outcomes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With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Treatment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Women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With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Based</w:t>
      </w:r>
      <w:proofErr w:type="spellEnd"/>
      <w:r w:rsidRPr="004C6EC1">
        <w:rPr>
          <w:rFonts w:cstheme="minorHAnsi"/>
          <w:sz w:val="20"/>
        </w:rPr>
        <w:t xml:space="preserve"> on New </w:t>
      </w:r>
      <w:proofErr w:type="spellStart"/>
      <w:r w:rsidRPr="004C6EC1">
        <w:rPr>
          <w:rFonts w:cstheme="minorHAnsi"/>
          <w:sz w:val="20"/>
        </w:rPr>
        <w:t>Diagnostic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Criteria</w:t>
      </w:r>
      <w:proofErr w:type="spellEnd"/>
      <w:r w:rsidRPr="004C6EC1">
        <w:rPr>
          <w:rFonts w:cstheme="minorHAnsi"/>
          <w:sz w:val="20"/>
        </w:rPr>
        <w:t xml:space="preserve">: A 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 xml:space="preserve"> and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. Front </w:t>
      </w:r>
      <w:proofErr w:type="spellStart"/>
      <w:r w:rsidRPr="004C6EC1">
        <w:rPr>
          <w:rFonts w:cstheme="minorHAnsi"/>
          <w:sz w:val="20"/>
        </w:rPr>
        <w:t>Endocrinol</w:t>
      </w:r>
      <w:proofErr w:type="spellEnd"/>
      <w:r w:rsidRPr="004C6EC1">
        <w:rPr>
          <w:rFonts w:cstheme="minorHAnsi"/>
          <w:sz w:val="20"/>
        </w:rPr>
        <w:t xml:space="preserve"> (Lausanne). 2021 Dec </w:t>
      </w:r>
      <w:proofErr w:type="gramStart"/>
      <w:r w:rsidRPr="004C6EC1">
        <w:rPr>
          <w:rFonts w:cstheme="minorHAnsi"/>
          <w:sz w:val="20"/>
        </w:rPr>
        <w:t>10;12:797423</w:t>
      </w:r>
      <w:proofErr w:type="gramEnd"/>
      <w:r w:rsidRPr="004C6EC1">
        <w:rPr>
          <w:rFonts w:cstheme="minorHAnsi"/>
          <w:sz w:val="20"/>
        </w:rPr>
        <w:t xml:space="preserve">. </w:t>
      </w:r>
    </w:p>
    <w:p w14:paraId="6B698050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Geng</w:t>
      </w:r>
      <w:proofErr w:type="spellEnd"/>
      <w:r w:rsidRPr="004C6EC1">
        <w:rPr>
          <w:rFonts w:cstheme="minorHAnsi"/>
          <w:sz w:val="20"/>
        </w:rPr>
        <w:t xml:space="preserve"> X, </w:t>
      </w:r>
      <w:proofErr w:type="spellStart"/>
      <w:r w:rsidRPr="004C6EC1">
        <w:rPr>
          <w:rFonts w:cstheme="minorHAnsi"/>
          <w:sz w:val="20"/>
        </w:rPr>
        <w:t>Chen</w:t>
      </w:r>
      <w:proofErr w:type="spellEnd"/>
      <w:r w:rsidRPr="004C6EC1">
        <w:rPr>
          <w:rFonts w:cstheme="minorHAnsi"/>
          <w:sz w:val="20"/>
        </w:rPr>
        <w:t xml:space="preserve"> Y, </w:t>
      </w:r>
      <w:proofErr w:type="spellStart"/>
      <w:r w:rsidRPr="004C6EC1">
        <w:rPr>
          <w:rFonts w:cstheme="minorHAnsi"/>
          <w:sz w:val="20"/>
        </w:rPr>
        <w:t>Wang</w:t>
      </w:r>
      <w:proofErr w:type="spellEnd"/>
      <w:r w:rsidRPr="004C6EC1">
        <w:rPr>
          <w:rFonts w:cstheme="minorHAnsi"/>
          <w:sz w:val="20"/>
        </w:rPr>
        <w:t xml:space="preserve"> W, </w:t>
      </w:r>
      <w:proofErr w:type="spellStart"/>
      <w:r w:rsidRPr="004C6EC1">
        <w:rPr>
          <w:rFonts w:cstheme="minorHAnsi"/>
          <w:sz w:val="20"/>
        </w:rPr>
        <w:t>Ma</w:t>
      </w:r>
      <w:proofErr w:type="spellEnd"/>
      <w:r w:rsidRPr="004C6EC1">
        <w:rPr>
          <w:rFonts w:cstheme="minorHAnsi"/>
          <w:sz w:val="20"/>
        </w:rPr>
        <w:t xml:space="preserve"> J, </w:t>
      </w:r>
      <w:proofErr w:type="spellStart"/>
      <w:r w:rsidRPr="004C6EC1">
        <w:rPr>
          <w:rFonts w:cstheme="minorHAnsi"/>
          <w:sz w:val="20"/>
        </w:rPr>
        <w:t>Wu</w:t>
      </w:r>
      <w:proofErr w:type="spellEnd"/>
      <w:r w:rsidRPr="004C6EC1">
        <w:rPr>
          <w:rFonts w:cstheme="minorHAnsi"/>
          <w:sz w:val="20"/>
        </w:rPr>
        <w:t xml:space="preserve"> W, </w:t>
      </w:r>
      <w:proofErr w:type="spellStart"/>
      <w:r w:rsidRPr="004C6EC1">
        <w:rPr>
          <w:rFonts w:cstheme="minorHAnsi"/>
          <w:sz w:val="20"/>
        </w:rPr>
        <w:t>Li</w:t>
      </w:r>
      <w:proofErr w:type="spellEnd"/>
      <w:r w:rsidRPr="004C6EC1">
        <w:rPr>
          <w:rFonts w:cstheme="minorHAnsi"/>
          <w:sz w:val="20"/>
        </w:rPr>
        <w:t xml:space="preserve"> N, Sun C. 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 xml:space="preserve"> and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the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efficacy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outcomes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sodium</w:t>
      </w:r>
      <w:proofErr w:type="spellEnd"/>
      <w:r w:rsidRPr="004C6EC1">
        <w:rPr>
          <w:rFonts w:cstheme="minorHAnsi"/>
          <w:sz w:val="20"/>
        </w:rPr>
        <w:t xml:space="preserve"> tablet </w:t>
      </w:r>
      <w:proofErr w:type="spellStart"/>
      <w:r w:rsidRPr="004C6EC1">
        <w:rPr>
          <w:rFonts w:cstheme="minorHAnsi"/>
          <w:sz w:val="20"/>
        </w:rPr>
        <w:t>administration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pregnant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women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complicated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with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. Ann </w:t>
      </w:r>
      <w:proofErr w:type="spellStart"/>
      <w:r w:rsidRPr="004C6EC1">
        <w:rPr>
          <w:rFonts w:cstheme="minorHAnsi"/>
          <w:sz w:val="20"/>
        </w:rPr>
        <w:t>Palliat</w:t>
      </w:r>
      <w:proofErr w:type="spellEnd"/>
      <w:r w:rsidRPr="004C6EC1">
        <w:rPr>
          <w:rFonts w:cstheme="minorHAnsi"/>
          <w:sz w:val="20"/>
        </w:rPr>
        <w:t xml:space="preserve"> Med. 2022 Apr;11(4):1441-1452. </w:t>
      </w:r>
    </w:p>
    <w:p w14:paraId="496C60CB" w14:textId="77777777" w:rsidR="007E36E9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Ghassabian</w:t>
      </w:r>
      <w:proofErr w:type="spellEnd"/>
      <w:r w:rsidRPr="00ED648B">
        <w:rPr>
          <w:rFonts w:cstheme="minorHAnsi"/>
          <w:sz w:val="20"/>
        </w:rPr>
        <w:t xml:space="preserve"> A, </w:t>
      </w:r>
      <w:proofErr w:type="spellStart"/>
      <w:r w:rsidRPr="00ED648B">
        <w:rPr>
          <w:rFonts w:cstheme="minorHAnsi"/>
          <w:sz w:val="20"/>
        </w:rPr>
        <w:t>Bongers-Schokking</w:t>
      </w:r>
      <w:proofErr w:type="spellEnd"/>
      <w:r w:rsidRPr="00ED648B">
        <w:rPr>
          <w:rFonts w:cstheme="minorHAnsi"/>
          <w:sz w:val="20"/>
        </w:rPr>
        <w:t xml:space="preserve"> JJ, de </w:t>
      </w:r>
      <w:proofErr w:type="spellStart"/>
      <w:r w:rsidRPr="00ED648B">
        <w:rPr>
          <w:rFonts w:cstheme="minorHAnsi"/>
          <w:sz w:val="20"/>
        </w:rPr>
        <w:t>Rijke</w:t>
      </w:r>
      <w:proofErr w:type="spellEnd"/>
      <w:r w:rsidRPr="00ED648B">
        <w:rPr>
          <w:rFonts w:cstheme="minorHAnsi"/>
          <w:sz w:val="20"/>
        </w:rPr>
        <w:t xml:space="preserve"> YB et al. </w:t>
      </w:r>
      <w:proofErr w:type="spellStart"/>
      <w:r w:rsidRPr="00ED648B">
        <w:rPr>
          <w:rFonts w:cstheme="minorHAnsi"/>
          <w:sz w:val="20"/>
        </w:rPr>
        <w:t>Maternal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autoimmunity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during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risk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attention</w:t>
      </w:r>
      <w:proofErr w:type="spellEnd"/>
      <w:r w:rsidRPr="00ED648B">
        <w:rPr>
          <w:rFonts w:cstheme="minorHAnsi"/>
          <w:sz w:val="20"/>
        </w:rPr>
        <w:t xml:space="preserve"> deficit/</w:t>
      </w:r>
      <w:proofErr w:type="spellStart"/>
      <w:r w:rsidRPr="00ED648B">
        <w:rPr>
          <w:rFonts w:cstheme="minorHAnsi"/>
          <w:sz w:val="20"/>
        </w:rPr>
        <w:t>hyperactivity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problems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children</w:t>
      </w:r>
      <w:proofErr w:type="spellEnd"/>
      <w:r w:rsidRPr="00ED648B">
        <w:rPr>
          <w:rFonts w:cstheme="minorHAnsi"/>
          <w:sz w:val="20"/>
        </w:rPr>
        <w:t xml:space="preserve">: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Generation</w:t>
      </w:r>
      <w:proofErr w:type="spellEnd"/>
      <w:r w:rsidRPr="00ED648B">
        <w:rPr>
          <w:rFonts w:cstheme="minorHAnsi"/>
          <w:sz w:val="20"/>
        </w:rPr>
        <w:t xml:space="preserve"> R Study.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>. 2012;22(2):178–86.</w:t>
      </w:r>
    </w:p>
    <w:p w14:paraId="5DCA1C98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Glinoer</w:t>
      </w:r>
      <w:proofErr w:type="spellEnd"/>
      <w:r w:rsidRPr="00ED648B">
        <w:rPr>
          <w:rFonts w:cstheme="minorHAnsi"/>
          <w:sz w:val="20"/>
        </w:rPr>
        <w:t xml:space="preserve"> D, </w:t>
      </w:r>
      <w:proofErr w:type="spellStart"/>
      <w:r w:rsidRPr="00ED648B">
        <w:rPr>
          <w:rFonts w:cstheme="minorHAnsi"/>
          <w:sz w:val="20"/>
        </w:rPr>
        <w:t>Fernandez-Soto</w:t>
      </w:r>
      <w:proofErr w:type="spellEnd"/>
      <w:r w:rsidRPr="00ED648B">
        <w:rPr>
          <w:rFonts w:cstheme="minorHAnsi"/>
          <w:sz w:val="20"/>
        </w:rPr>
        <w:t xml:space="preserve"> ML, </w:t>
      </w:r>
      <w:proofErr w:type="spellStart"/>
      <w:r w:rsidRPr="00ED648B">
        <w:rPr>
          <w:rFonts w:cstheme="minorHAnsi"/>
          <w:sz w:val="20"/>
        </w:rPr>
        <w:t>Bourdoux</w:t>
      </w:r>
      <w:proofErr w:type="spellEnd"/>
      <w:r w:rsidRPr="00ED648B">
        <w:rPr>
          <w:rFonts w:cstheme="minorHAnsi"/>
          <w:sz w:val="20"/>
        </w:rPr>
        <w:t xml:space="preserve"> P, et al.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patients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with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mild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abnormalities</w:t>
      </w:r>
      <w:proofErr w:type="spellEnd"/>
      <w:r w:rsidRPr="00ED648B">
        <w:rPr>
          <w:rFonts w:cstheme="minorHAnsi"/>
          <w:sz w:val="20"/>
        </w:rPr>
        <w:t xml:space="preserve">: </w:t>
      </w:r>
      <w:proofErr w:type="spellStart"/>
      <w:r w:rsidRPr="00ED648B">
        <w:rPr>
          <w:rFonts w:cstheme="minorHAnsi"/>
          <w:sz w:val="20"/>
        </w:rPr>
        <w:t>Maternal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neonatal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repercussions</w:t>
      </w:r>
      <w:proofErr w:type="spellEnd"/>
      <w:r w:rsidRPr="00ED648B">
        <w:rPr>
          <w:rFonts w:cstheme="minorHAnsi"/>
          <w:sz w:val="20"/>
        </w:rPr>
        <w:t xml:space="preserve">. J </w:t>
      </w:r>
      <w:proofErr w:type="spellStart"/>
      <w:r w:rsidRPr="00ED648B">
        <w:rPr>
          <w:rFonts w:cstheme="minorHAnsi"/>
          <w:sz w:val="20"/>
        </w:rPr>
        <w:t>Clin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Endocrinol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Metab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1991;71:421</w:t>
      </w:r>
      <w:proofErr w:type="gramEnd"/>
      <w:r w:rsidRPr="00ED648B">
        <w:rPr>
          <w:rFonts w:cstheme="minorHAnsi"/>
          <w:sz w:val="20"/>
        </w:rPr>
        <w:t xml:space="preserve">–7. </w:t>
      </w:r>
    </w:p>
    <w:p w14:paraId="2DB7CCAF" w14:textId="77777777" w:rsidR="007E36E9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lastRenderedPageBreak/>
        <w:t>Haddow</w:t>
      </w:r>
      <w:proofErr w:type="spellEnd"/>
      <w:r w:rsidRPr="00ED648B">
        <w:rPr>
          <w:rFonts w:cstheme="minorHAnsi"/>
          <w:sz w:val="20"/>
        </w:rPr>
        <w:t xml:space="preserve"> JE, </w:t>
      </w:r>
      <w:proofErr w:type="spellStart"/>
      <w:r w:rsidRPr="00ED648B">
        <w:rPr>
          <w:rFonts w:cstheme="minorHAnsi"/>
          <w:sz w:val="20"/>
        </w:rPr>
        <w:t>Palomaki</w:t>
      </w:r>
      <w:proofErr w:type="spellEnd"/>
      <w:r w:rsidRPr="00ED648B">
        <w:rPr>
          <w:rFonts w:cstheme="minorHAnsi"/>
          <w:sz w:val="20"/>
        </w:rPr>
        <w:t xml:space="preserve"> GE, Allan WC et al. </w:t>
      </w:r>
      <w:proofErr w:type="spellStart"/>
      <w:r w:rsidRPr="00ED648B">
        <w:rPr>
          <w:rFonts w:cstheme="minorHAnsi"/>
          <w:sz w:val="20"/>
        </w:rPr>
        <w:t>Maternal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deficiency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during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subsequent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neuropsychlogical</w:t>
      </w:r>
      <w:proofErr w:type="spellEnd"/>
      <w:r w:rsidRPr="00ED648B">
        <w:rPr>
          <w:rFonts w:cstheme="minorHAnsi"/>
          <w:sz w:val="20"/>
        </w:rPr>
        <w:t xml:space="preserve"> development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child</w:t>
      </w:r>
      <w:proofErr w:type="spellEnd"/>
      <w:r w:rsidRPr="00ED648B">
        <w:rPr>
          <w:rFonts w:cstheme="minorHAnsi"/>
          <w:sz w:val="20"/>
        </w:rPr>
        <w:t xml:space="preserve">. N </w:t>
      </w:r>
      <w:proofErr w:type="spellStart"/>
      <w:r w:rsidRPr="00ED648B">
        <w:rPr>
          <w:rFonts w:cstheme="minorHAnsi"/>
          <w:sz w:val="20"/>
        </w:rPr>
        <w:t>Engl</w:t>
      </w:r>
      <w:proofErr w:type="spellEnd"/>
      <w:r w:rsidRPr="00ED648B">
        <w:rPr>
          <w:rFonts w:cstheme="minorHAnsi"/>
          <w:sz w:val="20"/>
        </w:rPr>
        <w:t xml:space="preserve"> J Med. </w:t>
      </w:r>
      <w:proofErr w:type="gramStart"/>
      <w:r w:rsidRPr="00ED648B">
        <w:rPr>
          <w:rFonts w:cstheme="minorHAnsi"/>
          <w:sz w:val="20"/>
        </w:rPr>
        <w:t>1999;341:549</w:t>
      </w:r>
      <w:proofErr w:type="gramEnd"/>
      <w:r w:rsidRPr="00ED648B">
        <w:rPr>
          <w:rFonts w:cstheme="minorHAnsi"/>
          <w:sz w:val="20"/>
        </w:rPr>
        <w:t>–55.</w:t>
      </w:r>
    </w:p>
    <w:p w14:paraId="7F342AC4" w14:textId="77777777" w:rsidR="007E36E9" w:rsidRPr="00ED648B" w:rsidRDefault="007E36E9" w:rsidP="007E36E9">
      <w:pPr>
        <w:rPr>
          <w:rFonts w:cstheme="minorHAnsi"/>
          <w:sz w:val="20"/>
        </w:rPr>
      </w:pPr>
      <w:r w:rsidRPr="006F02FB">
        <w:rPr>
          <w:rFonts w:cstheme="minorHAnsi"/>
          <w:sz w:val="20"/>
        </w:rPr>
        <w:t xml:space="preserve">Horáček J, Jiskra J, </w:t>
      </w:r>
      <w:proofErr w:type="spellStart"/>
      <w:r w:rsidRPr="006F02FB">
        <w:rPr>
          <w:rFonts w:cstheme="minorHAnsi"/>
          <w:sz w:val="20"/>
        </w:rPr>
        <w:t>Límanova</w:t>
      </w:r>
      <w:proofErr w:type="spellEnd"/>
      <w:r w:rsidRPr="006F02FB">
        <w:rPr>
          <w:rFonts w:cstheme="minorHAnsi"/>
          <w:sz w:val="20"/>
        </w:rPr>
        <w:t xml:space="preserve"> Z, Springer D, Zamrazil V. Doporučení pro diagnostiku a léčbu </w:t>
      </w:r>
      <w:proofErr w:type="spellStart"/>
      <w:r w:rsidRPr="006F02FB">
        <w:rPr>
          <w:rFonts w:cstheme="minorHAnsi"/>
          <w:sz w:val="20"/>
        </w:rPr>
        <w:t>onemocnĕní</w:t>
      </w:r>
      <w:proofErr w:type="spellEnd"/>
      <w:r w:rsidRPr="006F02FB">
        <w:rPr>
          <w:rFonts w:cstheme="minorHAnsi"/>
          <w:sz w:val="20"/>
        </w:rPr>
        <w:t xml:space="preserve"> štítné žlázy v </w:t>
      </w:r>
      <w:proofErr w:type="spellStart"/>
      <w:r w:rsidRPr="006F02FB">
        <w:rPr>
          <w:rFonts w:cstheme="minorHAnsi"/>
          <w:sz w:val="20"/>
        </w:rPr>
        <w:t>tĕhotenství</w:t>
      </w:r>
      <w:proofErr w:type="spellEnd"/>
      <w:r w:rsidRPr="006F02FB">
        <w:rPr>
          <w:rFonts w:cstheme="minorHAnsi"/>
          <w:sz w:val="20"/>
        </w:rPr>
        <w:t xml:space="preserve"> a pro ženy s poruchou fertility. </w:t>
      </w:r>
      <w:proofErr w:type="spellStart"/>
      <w:r w:rsidRPr="006F02FB">
        <w:rPr>
          <w:rFonts w:cstheme="minorHAnsi"/>
          <w:sz w:val="20"/>
        </w:rPr>
        <w:t>Vnitr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Lek</w:t>
      </w:r>
      <w:proofErr w:type="spellEnd"/>
      <w:r w:rsidRPr="006F02FB">
        <w:rPr>
          <w:rFonts w:cstheme="minorHAnsi"/>
          <w:sz w:val="20"/>
        </w:rPr>
        <w:t xml:space="preserve">. 2013 Oct;59(10):909-31. </w:t>
      </w:r>
    </w:p>
    <w:p w14:paraId="0F598F33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Jiao</w:t>
      </w:r>
      <w:proofErr w:type="spellEnd"/>
      <w:r w:rsidRPr="004C6EC1">
        <w:rPr>
          <w:rFonts w:cstheme="minorHAnsi"/>
          <w:sz w:val="20"/>
        </w:rPr>
        <w:t xml:space="preserve"> XF, </w:t>
      </w:r>
      <w:proofErr w:type="spellStart"/>
      <w:r w:rsidRPr="004C6EC1">
        <w:rPr>
          <w:rFonts w:cstheme="minorHAnsi"/>
          <w:sz w:val="20"/>
        </w:rPr>
        <w:t>Zhang</w:t>
      </w:r>
      <w:proofErr w:type="spellEnd"/>
      <w:r w:rsidRPr="004C6EC1">
        <w:rPr>
          <w:rFonts w:cstheme="minorHAnsi"/>
          <w:sz w:val="20"/>
        </w:rPr>
        <w:t xml:space="preserve"> M, </w:t>
      </w:r>
      <w:proofErr w:type="spellStart"/>
      <w:r w:rsidRPr="004C6EC1">
        <w:rPr>
          <w:rFonts w:cstheme="minorHAnsi"/>
          <w:sz w:val="20"/>
        </w:rPr>
        <w:t>Chen</w:t>
      </w:r>
      <w:proofErr w:type="spellEnd"/>
      <w:r w:rsidRPr="004C6EC1">
        <w:rPr>
          <w:rFonts w:cstheme="minorHAnsi"/>
          <w:sz w:val="20"/>
        </w:rPr>
        <w:t xml:space="preserve"> J, </w:t>
      </w:r>
      <w:proofErr w:type="spellStart"/>
      <w:r w:rsidRPr="004C6EC1">
        <w:rPr>
          <w:rFonts w:cstheme="minorHAnsi"/>
          <w:sz w:val="20"/>
        </w:rPr>
        <w:t>Wei</w:t>
      </w:r>
      <w:proofErr w:type="spellEnd"/>
      <w:r w:rsidRPr="004C6EC1">
        <w:rPr>
          <w:rFonts w:cstheme="minorHAnsi"/>
          <w:sz w:val="20"/>
        </w:rPr>
        <w:t xml:space="preserve"> Q, </w:t>
      </w:r>
      <w:proofErr w:type="spellStart"/>
      <w:r w:rsidRPr="004C6EC1">
        <w:rPr>
          <w:rFonts w:cstheme="minorHAnsi"/>
          <w:sz w:val="20"/>
        </w:rPr>
        <w:t>Zeng</w:t>
      </w:r>
      <w:proofErr w:type="spellEnd"/>
      <w:r w:rsidRPr="004C6EC1">
        <w:rPr>
          <w:rFonts w:cstheme="minorHAnsi"/>
          <w:sz w:val="20"/>
        </w:rPr>
        <w:t xml:space="preserve"> L, </w:t>
      </w:r>
      <w:proofErr w:type="spellStart"/>
      <w:r w:rsidRPr="004C6EC1">
        <w:rPr>
          <w:rFonts w:cstheme="minorHAnsi"/>
          <w:sz w:val="20"/>
        </w:rPr>
        <w:t>Liu</w:t>
      </w:r>
      <w:proofErr w:type="spellEnd"/>
      <w:r w:rsidRPr="004C6EC1">
        <w:rPr>
          <w:rFonts w:cstheme="minorHAnsi"/>
          <w:sz w:val="20"/>
        </w:rPr>
        <w:t xml:space="preserve"> D, </w:t>
      </w:r>
      <w:proofErr w:type="spellStart"/>
      <w:r w:rsidRPr="004C6EC1">
        <w:rPr>
          <w:rFonts w:cstheme="minorHAnsi"/>
          <w:sz w:val="20"/>
        </w:rPr>
        <w:t>Zhang</w:t>
      </w:r>
      <w:proofErr w:type="spellEnd"/>
      <w:r w:rsidRPr="004C6EC1">
        <w:rPr>
          <w:rFonts w:cstheme="minorHAnsi"/>
          <w:sz w:val="20"/>
        </w:rPr>
        <w:t xml:space="preserve"> C, </w:t>
      </w:r>
      <w:proofErr w:type="spellStart"/>
      <w:r w:rsidRPr="004C6EC1">
        <w:rPr>
          <w:rFonts w:cstheme="minorHAnsi"/>
          <w:sz w:val="20"/>
        </w:rPr>
        <w:t>Li</w:t>
      </w:r>
      <w:proofErr w:type="spellEnd"/>
      <w:r w:rsidRPr="004C6EC1">
        <w:rPr>
          <w:rFonts w:cstheme="minorHAnsi"/>
          <w:sz w:val="20"/>
        </w:rPr>
        <w:t xml:space="preserve"> H, </w:t>
      </w:r>
      <w:proofErr w:type="spellStart"/>
      <w:r w:rsidRPr="004C6EC1">
        <w:rPr>
          <w:rFonts w:cstheme="minorHAnsi"/>
          <w:sz w:val="20"/>
        </w:rPr>
        <w:t>Zou</w:t>
      </w:r>
      <w:proofErr w:type="spellEnd"/>
      <w:r w:rsidRPr="004C6EC1">
        <w:rPr>
          <w:rFonts w:cstheme="minorHAnsi"/>
          <w:sz w:val="20"/>
        </w:rPr>
        <w:t xml:space="preserve"> K, </w:t>
      </w:r>
      <w:proofErr w:type="spellStart"/>
      <w:r w:rsidRPr="004C6EC1">
        <w:rPr>
          <w:rFonts w:cstheme="minorHAnsi"/>
          <w:sz w:val="20"/>
        </w:rPr>
        <w:t>Zhang</w:t>
      </w:r>
      <w:proofErr w:type="spellEnd"/>
      <w:r w:rsidRPr="004C6EC1">
        <w:rPr>
          <w:rFonts w:cstheme="minorHAnsi"/>
          <w:sz w:val="20"/>
        </w:rPr>
        <w:t xml:space="preserve"> L, </w:t>
      </w:r>
      <w:proofErr w:type="spellStart"/>
      <w:r w:rsidRPr="004C6EC1">
        <w:rPr>
          <w:rFonts w:cstheme="minorHAnsi"/>
          <w:sz w:val="20"/>
        </w:rPr>
        <w:t>Zhang</w:t>
      </w:r>
      <w:proofErr w:type="spellEnd"/>
      <w:r w:rsidRPr="004C6EC1">
        <w:rPr>
          <w:rFonts w:cstheme="minorHAnsi"/>
          <w:sz w:val="20"/>
        </w:rPr>
        <w:t xml:space="preserve"> L. </w:t>
      </w:r>
      <w:proofErr w:type="spellStart"/>
      <w:r w:rsidRPr="004C6EC1">
        <w:rPr>
          <w:rFonts w:cstheme="minorHAnsi"/>
          <w:sz w:val="20"/>
        </w:rPr>
        <w:t>The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impact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therapy</w:t>
      </w:r>
      <w:proofErr w:type="spellEnd"/>
      <w:r w:rsidRPr="004C6EC1">
        <w:rPr>
          <w:rFonts w:cstheme="minorHAnsi"/>
          <w:sz w:val="20"/>
        </w:rPr>
        <w:t xml:space="preserve"> on </w:t>
      </w:r>
      <w:proofErr w:type="spellStart"/>
      <w:r w:rsidRPr="004C6EC1">
        <w:rPr>
          <w:rFonts w:cstheme="minorHAnsi"/>
          <w:sz w:val="20"/>
        </w:rPr>
        <w:t>the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, </w:t>
      </w:r>
      <w:proofErr w:type="spellStart"/>
      <w:r w:rsidRPr="004C6EC1">
        <w:rPr>
          <w:rFonts w:cstheme="minorHAnsi"/>
          <w:sz w:val="20"/>
        </w:rPr>
        <w:t>neonatal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childhood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outcomes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during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: An </w:t>
      </w:r>
      <w:proofErr w:type="spellStart"/>
      <w:r w:rsidRPr="004C6EC1">
        <w:rPr>
          <w:rFonts w:cstheme="minorHAnsi"/>
          <w:sz w:val="20"/>
        </w:rPr>
        <w:t>updated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>,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 and trial </w:t>
      </w:r>
      <w:proofErr w:type="spellStart"/>
      <w:r w:rsidRPr="004C6EC1">
        <w:rPr>
          <w:rFonts w:cstheme="minorHAnsi"/>
          <w:sz w:val="20"/>
        </w:rPr>
        <w:t>sequential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. Front </w:t>
      </w:r>
      <w:proofErr w:type="spellStart"/>
      <w:r w:rsidRPr="004C6EC1">
        <w:rPr>
          <w:rFonts w:cstheme="minorHAnsi"/>
          <w:sz w:val="20"/>
        </w:rPr>
        <w:t>Endocrinol</w:t>
      </w:r>
      <w:proofErr w:type="spellEnd"/>
      <w:r w:rsidRPr="004C6EC1">
        <w:rPr>
          <w:rFonts w:cstheme="minorHAnsi"/>
          <w:sz w:val="20"/>
        </w:rPr>
        <w:t xml:space="preserve"> (Lausanne). 2022 </w:t>
      </w:r>
      <w:proofErr w:type="spellStart"/>
      <w:r w:rsidRPr="004C6EC1">
        <w:rPr>
          <w:rFonts w:cstheme="minorHAnsi"/>
          <w:sz w:val="20"/>
        </w:rPr>
        <w:t>Aug</w:t>
      </w:r>
      <w:proofErr w:type="spellEnd"/>
      <w:r w:rsidRPr="004C6EC1">
        <w:rPr>
          <w:rFonts w:cstheme="minorHAnsi"/>
          <w:sz w:val="20"/>
        </w:rPr>
        <w:t xml:space="preserve"> </w:t>
      </w:r>
      <w:proofErr w:type="gramStart"/>
      <w:r w:rsidRPr="004C6EC1">
        <w:rPr>
          <w:rFonts w:cstheme="minorHAnsi"/>
          <w:sz w:val="20"/>
        </w:rPr>
        <w:t>5;13:964084</w:t>
      </w:r>
      <w:proofErr w:type="gramEnd"/>
      <w:r w:rsidRPr="004C6EC1">
        <w:rPr>
          <w:rFonts w:cstheme="minorHAnsi"/>
          <w:sz w:val="20"/>
        </w:rPr>
        <w:t xml:space="preserve">. </w:t>
      </w:r>
    </w:p>
    <w:p w14:paraId="79D763E0" w14:textId="77777777" w:rsidR="007E36E9" w:rsidRPr="00ED648B" w:rsidRDefault="007E36E9" w:rsidP="007E36E9">
      <w:pPr>
        <w:rPr>
          <w:rFonts w:cstheme="minorHAnsi"/>
          <w:sz w:val="20"/>
        </w:rPr>
      </w:pPr>
      <w:r w:rsidRPr="006F02FB">
        <w:rPr>
          <w:rFonts w:cstheme="minorHAnsi"/>
          <w:sz w:val="20"/>
        </w:rPr>
        <w:t xml:space="preserve">Jiskra J, Bartáková J, Holinka Š, </w:t>
      </w:r>
      <w:proofErr w:type="spellStart"/>
      <w:r w:rsidRPr="006F02FB">
        <w:rPr>
          <w:rFonts w:cstheme="minorHAnsi"/>
          <w:sz w:val="20"/>
        </w:rPr>
        <w:t>Límanová</w:t>
      </w:r>
      <w:proofErr w:type="spellEnd"/>
      <w:r w:rsidRPr="006F02FB">
        <w:rPr>
          <w:rFonts w:cstheme="minorHAnsi"/>
          <w:sz w:val="20"/>
        </w:rPr>
        <w:t xml:space="preserve"> Z, Springer D, Antošová M, Telička Z, </w:t>
      </w:r>
      <w:proofErr w:type="spellStart"/>
      <w:r w:rsidRPr="006F02FB">
        <w:rPr>
          <w:rFonts w:cstheme="minorHAnsi"/>
          <w:sz w:val="20"/>
        </w:rPr>
        <w:t>Potluková</w:t>
      </w:r>
      <w:proofErr w:type="spellEnd"/>
      <w:r w:rsidRPr="006F02FB">
        <w:rPr>
          <w:rFonts w:cstheme="minorHAnsi"/>
          <w:sz w:val="20"/>
        </w:rPr>
        <w:t xml:space="preserve"> E. </w:t>
      </w:r>
      <w:proofErr w:type="spellStart"/>
      <w:r w:rsidRPr="006F02FB">
        <w:rPr>
          <w:rFonts w:cstheme="minorHAnsi"/>
          <w:sz w:val="20"/>
        </w:rPr>
        <w:t>Low</w:t>
      </w:r>
      <w:proofErr w:type="spellEnd"/>
      <w:r w:rsidRPr="006F02FB">
        <w:rPr>
          <w:rFonts w:cstheme="minorHAnsi"/>
          <w:sz w:val="20"/>
        </w:rPr>
        <w:t xml:space="preserve"> prevalence </w:t>
      </w:r>
      <w:proofErr w:type="spellStart"/>
      <w:r w:rsidRPr="006F02FB">
        <w:rPr>
          <w:rFonts w:cstheme="minorHAnsi"/>
          <w:sz w:val="20"/>
        </w:rPr>
        <w:t>of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clinically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high</w:t>
      </w:r>
      <w:proofErr w:type="spellEnd"/>
      <w:r w:rsidRPr="006F02FB">
        <w:rPr>
          <w:rFonts w:cstheme="minorHAnsi"/>
          <w:sz w:val="20"/>
        </w:rPr>
        <w:t xml:space="preserve">-risk </w:t>
      </w:r>
      <w:proofErr w:type="spellStart"/>
      <w:r w:rsidRPr="006F02FB">
        <w:rPr>
          <w:rFonts w:cstheme="minorHAnsi"/>
          <w:sz w:val="20"/>
        </w:rPr>
        <w:t>women</w:t>
      </w:r>
      <w:proofErr w:type="spellEnd"/>
      <w:r w:rsidRPr="006F02FB">
        <w:rPr>
          <w:rFonts w:cstheme="minorHAnsi"/>
          <w:sz w:val="20"/>
        </w:rPr>
        <w:t xml:space="preserve"> and </w:t>
      </w:r>
      <w:proofErr w:type="spellStart"/>
      <w:r w:rsidRPr="006F02FB">
        <w:rPr>
          <w:rFonts w:cstheme="minorHAnsi"/>
          <w:sz w:val="20"/>
        </w:rPr>
        <w:t>pathological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thyroid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ultrasound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among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pregnant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women</w:t>
      </w:r>
      <w:proofErr w:type="spellEnd"/>
      <w:r w:rsidRPr="006F02FB">
        <w:rPr>
          <w:rFonts w:cstheme="minorHAnsi"/>
          <w:sz w:val="20"/>
        </w:rPr>
        <w:t xml:space="preserve"> positive in universal screening </w:t>
      </w:r>
      <w:proofErr w:type="spellStart"/>
      <w:r w:rsidRPr="006F02FB">
        <w:rPr>
          <w:rFonts w:cstheme="minorHAnsi"/>
          <w:sz w:val="20"/>
        </w:rPr>
        <w:t>for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thyroid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disorders</w:t>
      </w:r>
      <w:proofErr w:type="spellEnd"/>
      <w:r w:rsidRPr="006F02FB">
        <w:rPr>
          <w:rFonts w:cstheme="minorHAnsi"/>
          <w:sz w:val="20"/>
        </w:rPr>
        <w:t xml:space="preserve">. Exp </w:t>
      </w:r>
      <w:proofErr w:type="spellStart"/>
      <w:r w:rsidRPr="006F02FB">
        <w:rPr>
          <w:rFonts w:cstheme="minorHAnsi"/>
          <w:sz w:val="20"/>
        </w:rPr>
        <w:t>Clin</w:t>
      </w:r>
      <w:proofErr w:type="spellEnd"/>
      <w:r w:rsidRPr="006F02FB">
        <w:rPr>
          <w:rFonts w:cstheme="minorHAnsi"/>
          <w:sz w:val="20"/>
        </w:rPr>
        <w:t xml:space="preserve"> </w:t>
      </w:r>
      <w:proofErr w:type="spellStart"/>
      <w:r w:rsidRPr="006F02FB">
        <w:rPr>
          <w:rFonts w:cstheme="minorHAnsi"/>
          <w:sz w:val="20"/>
        </w:rPr>
        <w:t>Endocrinol</w:t>
      </w:r>
      <w:proofErr w:type="spellEnd"/>
      <w:r w:rsidRPr="006F02FB">
        <w:rPr>
          <w:rFonts w:cstheme="minorHAnsi"/>
          <w:sz w:val="20"/>
        </w:rPr>
        <w:t xml:space="preserve"> Diabetes. 2011 Oct;119(9):530-5. </w:t>
      </w:r>
      <w:proofErr w:type="spellStart"/>
      <w:r w:rsidRPr="006F02FB">
        <w:rPr>
          <w:rFonts w:cstheme="minorHAnsi"/>
          <w:sz w:val="20"/>
        </w:rPr>
        <w:t>Epub</w:t>
      </w:r>
      <w:proofErr w:type="spellEnd"/>
      <w:r w:rsidRPr="006F02FB">
        <w:rPr>
          <w:rFonts w:cstheme="minorHAnsi"/>
          <w:sz w:val="20"/>
        </w:rPr>
        <w:t xml:space="preserve"> 2011 </w:t>
      </w:r>
      <w:proofErr w:type="spellStart"/>
      <w:r w:rsidRPr="006F02FB">
        <w:rPr>
          <w:rFonts w:cstheme="minorHAnsi"/>
          <w:sz w:val="20"/>
        </w:rPr>
        <w:t>Aug</w:t>
      </w:r>
      <w:proofErr w:type="spellEnd"/>
      <w:r w:rsidRPr="006F02FB">
        <w:rPr>
          <w:rFonts w:cstheme="minorHAnsi"/>
          <w:sz w:val="20"/>
        </w:rPr>
        <w:t xml:space="preserve"> 2.</w:t>
      </w:r>
    </w:p>
    <w:p w14:paraId="571F8C19" w14:textId="77777777" w:rsidR="007E36E9" w:rsidRPr="00ED648B" w:rsidRDefault="007E36E9" w:rsidP="007E36E9">
      <w:pPr>
        <w:rPr>
          <w:rFonts w:cstheme="minorHAnsi"/>
          <w:sz w:val="20"/>
        </w:rPr>
      </w:pPr>
      <w:r w:rsidRPr="00ED648B">
        <w:rPr>
          <w:rFonts w:cstheme="minorHAnsi"/>
          <w:sz w:val="20"/>
        </w:rPr>
        <w:t xml:space="preserve">Kim CH, </w:t>
      </w:r>
      <w:proofErr w:type="spellStart"/>
      <w:r w:rsidRPr="00ED648B">
        <w:rPr>
          <w:rFonts w:cstheme="minorHAnsi"/>
          <w:sz w:val="20"/>
        </w:rPr>
        <w:t>Ahn</w:t>
      </w:r>
      <w:proofErr w:type="spellEnd"/>
      <w:r w:rsidRPr="00ED648B">
        <w:rPr>
          <w:rFonts w:cstheme="minorHAnsi"/>
          <w:sz w:val="20"/>
        </w:rPr>
        <w:t xml:space="preserve"> JW, </w:t>
      </w:r>
      <w:proofErr w:type="spellStart"/>
      <w:r w:rsidRPr="00ED648B">
        <w:rPr>
          <w:rFonts w:cstheme="minorHAnsi"/>
          <w:sz w:val="20"/>
        </w:rPr>
        <w:t>Kang</w:t>
      </w:r>
      <w:proofErr w:type="spellEnd"/>
      <w:r w:rsidRPr="00ED648B">
        <w:rPr>
          <w:rFonts w:cstheme="minorHAnsi"/>
          <w:sz w:val="20"/>
        </w:rPr>
        <w:t xml:space="preserve"> SP et al. </w:t>
      </w:r>
      <w:proofErr w:type="spellStart"/>
      <w:r w:rsidRPr="00ED648B">
        <w:rPr>
          <w:rFonts w:cstheme="minorHAnsi"/>
          <w:sz w:val="20"/>
        </w:rPr>
        <w:t>Effect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levothyroxine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treatment</w:t>
      </w:r>
      <w:proofErr w:type="spellEnd"/>
      <w:r w:rsidRPr="00ED648B">
        <w:rPr>
          <w:rFonts w:cstheme="minorHAnsi"/>
          <w:sz w:val="20"/>
        </w:rPr>
        <w:t xml:space="preserve"> on in vitro </w:t>
      </w:r>
      <w:proofErr w:type="spellStart"/>
      <w:r w:rsidRPr="00ED648B">
        <w:rPr>
          <w:rFonts w:cstheme="minorHAnsi"/>
          <w:sz w:val="20"/>
        </w:rPr>
        <w:t>fertilization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outcome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infertile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women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with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subclinical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hypothyroidism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undergoing</w:t>
      </w:r>
      <w:proofErr w:type="spellEnd"/>
      <w:r w:rsidRPr="00ED648B">
        <w:rPr>
          <w:rFonts w:cstheme="minorHAnsi"/>
          <w:sz w:val="20"/>
        </w:rPr>
        <w:t xml:space="preserve"> in vitro </w:t>
      </w:r>
      <w:proofErr w:type="spellStart"/>
      <w:r w:rsidRPr="00ED648B">
        <w:rPr>
          <w:rFonts w:cstheme="minorHAnsi"/>
          <w:sz w:val="20"/>
        </w:rPr>
        <w:t>fertilization</w:t>
      </w:r>
      <w:proofErr w:type="spellEnd"/>
      <w:r w:rsidRPr="00ED648B">
        <w:rPr>
          <w:rFonts w:cstheme="minorHAnsi"/>
          <w:sz w:val="20"/>
        </w:rPr>
        <w:t>/</w:t>
      </w:r>
      <w:proofErr w:type="spellStart"/>
      <w:r w:rsidRPr="00ED648B">
        <w:rPr>
          <w:rFonts w:cstheme="minorHAnsi"/>
          <w:sz w:val="20"/>
        </w:rPr>
        <w:t>intracytoplasmic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sperm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injection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spellStart"/>
      <w:r w:rsidRPr="00ED648B">
        <w:rPr>
          <w:rFonts w:cstheme="minorHAnsi"/>
          <w:sz w:val="20"/>
        </w:rPr>
        <w:t>Fertil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Steril</w:t>
      </w:r>
      <w:proofErr w:type="spellEnd"/>
      <w:r w:rsidRPr="00ED648B">
        <w:rPr>
          <w:rFonts w:cstheme="minorHAnsi"/>
          <w:sz w:val="20"/>
        </w:rPr>
        <w:t xml:space="preserve">. 2011;95(5):1650–4. </w:t>
      </w:r>
    </w:p>
    <w:p w14:paraId="704E8182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Kung</w:t>
      </w:r>
      <w:proofErr w:type="spellEnd"/>
      <w:r w:rsidRPr="00ED648B">
        <w:rPr>
          <w:rFonts w:cstheme="minorHAnsi"/>
          <w:sz w:val="20"/>
        </w:rPr>
        <w:t xml:space="preserve"> AW, </w:t>
      </w:r>
      <w:proofErr w:type="spellStart"/>
      <w:r w:rsidRPr="00ED648B">
        <w:rPr>
          <w:rFonts w:cstheme="minorHAnsi"/>
          <w:sz w:val="20"/>
        </w:rPr>
        <w:t>Chau</w:t>
      </w:r>
      <w:proofErr w:type="spellEnd"/>
      <w:r w:rsidRPr="00ED648B">
        <w:rPr>
          <w:rFonts w:cstheme="minorHAnsi"/>
          <w:sz w:val="20"/>
        </w:rPr>
        <w:t xml:space="preserve"> MT, </w:t>
      </w:r>
      <w:proofErr w:type="spellStart"/>
      <w:r w:rsidRPr="00ED648B">
        <w:rPr>
          <w:rFonts w:cstheme="minorHAnsi"/>
          <w:sz w:val="20"/>
        </w:rPr>
        <w:t>Lao</w:t>
      </w:r>
      <w:proofErr w:type="spellEnd"/>
      <w:r w:rsidRPr="00ED648B">
        <w:rPr>
          <w:rFonts w:cstheme="minorHAnsi"/>
          <w:sz w:val="20"/>
        </w:rPr>
        <w:t xml:space="preserve"> TT et al.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effect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on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nodule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formation</w:t>
      </w:r>
      <w:proofErr w:type="spellEnd"/>
      <w:r w:rsidRPr="00ED648B">
        <w:rPr>
          <w:rFonts w:cstheme="minorHAnsi"/>
          <w:sz w:val="20"/>
        </w:rPr>
        <w:t xml:space="preserve">. J </w:t>
      </w:r>
      <w:proofErr w:type="spellStart"/>
      <w:r w:rsidRPr="00ED648B">
        <w:rPr>
          <w:rFonts w:cstheme="minorHAnsi"/>
          <w:sz w:val="20"/>
        </w:rPr>
        <w:t>Clin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Endocrinol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Metab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2002;87:1010</w:t>
      </w:r>
      <w:proofErr w:type="gramEnd"/>
      <w:r w:rsidRPr="00ED648B">
        <w:rPr>
          <w:rFonts w:cstheme="minorHAnsi"/>
          <w:sz w:val="20"/>
        </w:rPr>
        <w:t>–4.</w:t>
      </w:r>
    </w:p>
    <w:p w14:paraId="0ECB3DAF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Lazarus</w:t>
      </w:r>
      <w:proofErr w:type="spellEnd"/>
      <w:r w:rsidRPr="00ED648B">
        <w:rPr>
          <w:rFonts w:cstheme="minorHAnsi"/>
          <w:sz w:val="20"/>
        </w:rPr>
        <w:t xml:space="preserve"> J, Brown RS, </w:t>
      </w:r>
      <w:proofErr w:type="spellStart"/>
      <w:r w:rsidRPr="00ED648B">
        <w:rPr>
          <w:rFonts w:cstheme="minorHAnsi"/>
          <w:sz w:val="20"/>
        </w:rPr>
        <w:t>Daumerie</w:t>
      </w:r>
      <w:proofErr w:type="spellEnd"/>
      <w:r w:rsidRPr="00ED648B">
        <w:rPr>
          <w:rFonts w:cstheme="minorHAnsi"/>
          <w:sz w:val="20"/>
        </w:rPr>
        <w:t xml:space="preserve"> C, </w:t>
      </w:r>
      <w:proofErr w:type="spellStart"/>
      <w:r w:rsidRPr="00ED648B">
        <w:rPr>
          <w:rFonts w:cstheme="minorHAnsi"/>
          <w:sz w:val="20"/>
        </w:rPr>
        <w:t>Hubalewska-Dydejczyk</w:t>
      </w:r>
      <w:proofErr w:type="spellEnd"/>
      <w:r w:rsidRPr="00ED648B">
        <w:rPr>
          <w:rFonts w:cstheme="minorHAnsi"/>
          <w:sz w:val="20"/>
        </w:rPr>
        <w:t xml:space="preserve"> A, </w:t>
      </w:r>
      <w:proofErr w:type="spellStart"/>
      <w:r w:rsidRPr="00ED648B">
        <w:rPr>
          <w:rFonts w:cstheme="minorHAnsi"/>
          <w:sz w:val="20"/>
        </w:rPr>
        <w:t>Negro</w:t>
      </w:r>
      <w:proofErr w:type="spellEnd"/>
      <w:r w:rsidRPr="00ED648B">
        <w:rPr>
          <w:rFonts w:cstheme="minorHAnsi"/>
          <w:sz w:val="20"/>
        </w:rPr>
        <w:t xml:space="preserve"> R, </w:t>
      </w:r>
      <w:proofErr w:type="spellStart"/>
      <w:r w:rsidRPr="00ED648B">
        <w:rPr>
          <w:rFonts w:cstheme="minorHAnsi"/>
          <w:sz w:val="20"/>
        </w:rPr>
        <w:t>Vaidya</w:t>
      </w:r>
      <w:proofErr w:type="spellEnd"/>
      <w:r w:rsidRPr="00ED648B">
        <w:rPr>
          <w:rFonts w:cstheme="minorHAnsi"/>
          <w:sz w:val="20"/>
        </w:rPr>
        <w:t xml:space="preserve"> B. 2014 </w:t>
      </w:r>
      <w:proofErr w:type="spellStart"/>
      <w:r w:rsidRPr="00ED648B">
        <w:rPr>
          <w:rFonts w:cstheme="minorHAnsi"/>
          <w:sz w:val="20"/>
        </w:rPr>
        <w:t>European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association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guidelines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for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management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subclinical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hypothyroidism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and in </w:t>
      </w:r>
      <w:proofErr w:type="spellStart"/>
      <w:r w:rsidRPr="00ED648B">
        <w:rPr>
          <w:rFonts w:cstheme="minorHAnsi"/>
          <w:sz w:val="20"/>
        </w:rPr>
        <w:t>children</w:t>
      </w:r>
      <w:proofErr w:type="spellEnd"/>
      <w:r w:rsidRPr="00ED648B">
        <w:rPr>
          <w:rFonts w:cstheme="minorHAnsi"/>
          <w:sz w:val="20"/>
        </w:rPr>
        <w:t xml:space="preserve">. Eur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J. 2014 Jun;3(2):76-94. </w:t>
      </w:r>
    </w:p>
    <w:p w14:paraId="260A13F4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Lazarus</w:t>
      </w:r>
      <w:proofErr w:type="spellEnd"/>
      <w:r w:rsidRPr="00ED648B">
        <w:rPr>
          <w:rFonts w:cstheme="minorHAnsi"/>
          <w:sz w:val="20"/>
        </w:rPr>
        <w:t xml:space="preserve"> JH. </w:t>
      </w:r>
      <w:proofErr w:type="spellStart"/>
      <w:r w:rsidRPr="00ED648B">
        <w:rPr>
          <w:rFonts w:cstheme="minorHAnsi"/>
          <w:sz w:val="20"/>
        </w:rPr>
        <w:t>Postpartum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disease</w:t>
      </w:r>
      <w:proofErr w:type="spellEnd"/>
      <w:r w:rsidRPr="00ED648B">
        <w:rPr>
          <w:rFonts w:cstheme="minorHAnsi"/>
          <w:sz w:val="20"/>
        </w:rPr>
        <w:t xml:space="preserve">. In: </w:t>
      </w:r>
      <w:proofErr w:type="spellStart"/>
      <w:r w:rsidRPr="00ED648B">
        <w:rPr>
          <w:rFonts w:cstheme="minorHAnsi"/>
          <w:sz w:val="20"/>
        </w:rPr>
        <w:t>Lazarus</w:t>
      </w:r>
      <w:proofErr w:type="spellEnd"/>
      <w:r w:rsidRPr="00ED648B">
        <w:rPr>
          <w:rFonts w:cstheme="minorHAnsi"/>
          <w:sz w:val="20"/>
        </w:rPr>
        <w:t xml:space="preserve"> JH, </w:t>
      </w:r>
      <w:proofErr w:type="spellStart"/>
      <w:r w:rsidRPr="00ED648B">
        <w:rPr>
          <w:rFonts w:cstheme="minorHAnsi"/>
          <w:sz w:val="20"/>
        </w:rPr>
        <w:t>Pirags</w:t>
      </w:r>
      <w:proofErr w:type="spellEnd"/>
      <w:r w:rsidRPr="00ED648B">
        <w:rPr>
          <w:rFonts w:cstheme="minorHAnsi"/>
          <w:sz w:val="20"/>
        </w:rPr>
        <w:t xml:space="preserve"> V, </w:t>
      </w:r>
      <w:proofErr w:type="spellStart"/>
      <w:r w:rsidRPr="00ED648B">
        <w:rPr>
          <w:rFonts w:cstheme="minorHAnsi"/>
          <w:sz w:val="20"/>
        </w:rPr>
        <w:t>Butz</w:t>
      </w:r>
      <w:proofErr w:type="spellEnd"/>
      <w:r w:rsidRPr="00ED648B">
        <w:rPr>
          <w:rFonts w:cstheme="minorHAnsi"/>
          <w:sz w:val="20"/>
        </w:rPr>
        <w:t xml:space="preserve"> S.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reproduction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spellStart"/>
      <w:r w:rsidRPr="00ED648B">
        <w:rPr>
          <w:rFonts w:cstheme="minorHAnsi"/>
          <w:sz w:val="20"/>
        </w:rPr>
        <w:t>Merck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European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gramStart"/>
      <w:r w:rsidRPr="00ED648B">
        <w:rPr>
          <w:rFonts w:cstheme="minorHAnsi"/>
          <w:sz w:val="20"/>
        </w:rPr>
        <w:t>Symposium</w:t>
      </w:r>
      <w:proofErr w:type="gramEnd"/>
      <w:r w:rsidRPr="00ED648B">
        <w:rPr>
          <w:rFonts w:cstheme="minorHAnsi"/>
          <w:sz w:val="20"/>
        </w:rPr>
        <w:t xml:space="preserve">. Stuttgart: Georg </w:t>
      </w:r>
      <w:proofErr w:type="spellStart"/>
      <w:r w:rsidRPr="00ED648B">
        <w:rPr>
          <w:rFonts w:cstheme="minorHAnsi"/>
          <w:sz w:val="20"/>
        </w:rPr>
        <w:t>Tieme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Verlag</w:t>
      </w:r>
      <w:proofErr w:type="spellEnd"/>
      <w:r w:rsidRPr="00ED648B">
        <w:rPr>
          <w:rFonts w:cstheme="minorHAnsi"/>
          <w:sz w:val="20"/>
        </w:rPr>
        <w:t>; 2008. p. 105–13.</w:t>
      </w:r>
    </w:p>
    <w:p w14:paraId="6BAC4603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Límanová</w:t>
      </w:r>
      <w:proofErr w:type="spellEnd"/>
      <w:r w:rsidRPr="00ED648B">
        <w:rPr>
          <w:rFonts w:cstheme="minorHAnsi"/>
          <w:sz w:val="20"/>
        </w:rPr>
        <w:t xml:space="preserve"> Z, Jiskra J, Springer D, Horáček J, Zamrazil V. Doporučení pro diagnostiku a léčbu onemocnění štítné žlázy v těhotenství a pro ženy s poruchou fertility. </w:t>
      </w:r>
      <w:proofErr w:type="spellStart"/>
      <w:r w:rsidRPr="00ED648B">
        <w:rPr>
          <w:rFonts w:cstheme="minorHAnsi"/>
          <w:sz w:val="20"/>
        </w:rPr>
        <w:t>Prakt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Gyn</w:t>
      </w:r>
      <w:proofErr w:type="spellEnd"/>
      <w:r w:rsidRPr="00ED648B">
        <w:rPr>
          <w:rFonts w:cstheme="minorHAnsi"/>
          <w:sz w:val="20"/>
        </w:rPr>
        <w:t>. 2013;17(2):173–99.</w:t>
      </w:r>
    </w:p>
    <w:p w14:paraId="4B06E124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Marley</w:t>
      </w:r>
      <w:proofErr w:type="spellEnd"/>
      <w:r w:rsidRPr="00ED648B">
        <w:rPr>
          <w:rFonts w:cstheme="minorHAnsi"/>
          <w:sz w:val="20"/>
        </w:rPr>
        <w:t xml:space="preserve"> F, </w:t>
      </w:r>
      <w:proofErr w:type="spellStart"/>
      <w:r w:rsidRPr="00ED648B">
        <w:rPr>
          <w:rFonts w:cstheme="minorHAnsi"/>
          <w:sz w:val="20"/>
        </w:rPr>
        <w:t>Oertel</w:t>
      </w:r>
      <w:proofErr w:type="spellEnd"/>
      <w:r w:rsidRPr="00ED648B">
        <w:rPr>
          <w:rFonts w:cstheme="minorHAnsi"/>
          <w:sz w:val="20"/>
        </w:rPr>
        <w:t xml:space="preserve"> YC. Fine </w:t>
      </w:r>
      <w:proofErr w:type="spellStart"/>
      <w:r w:rsidRPr="00ED648B">
        <w:rPr>
          <w:rFonts w:cstheme="minorHAnsi"/>
          <w:sz w:val="20"/>
        </w:rPr>
        <w:t>needle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aspiration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lesions</w:t>
      </w:r>
      <w:proofErr w:type="spellEnd"/>
      <w:r w:rsidRPr="00ED648B">
        <w:rPr>
          <w:rFonts w:cstheme="minorHAnsi"/>
          <w:sz w:val="20"/>
        </w:rPr>
        <w:t xml:space="preserve"> in 57 </w:t>
      </w:r>
      <w:proofErr w:type="spellStart"/>
      <w:r w:rsidRPr="00ED648B">
        <w:rPr>
          <w:rFonts w:cstheme="minorHAnsi"/>
          <w:sz w:val="20"/>
        </w:rPr>
        <w:t>pregnant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postpartum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women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spellStart"/>
      <w:r w:rsidRPr="00ED648B">
        <w:rPr>
          <w:rFonts w:cstheme="minorHAnsi"/>
          <w:sz w:val="20"/>
        </w:rPr>
        <w:t>Diagn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Cytopathol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1997;16:122</w:t>
      </w:r>
      <w:proofErr w:type="gramEnd"/>
      <w:r w:rsidRPr="00ED648B">
        <w:rPr>
          <w:rFonts w:cstheme="minorHAnsi"/>
          <w:sz w:val="20"/>
        </w:rPr>
        <w:t>–5.</w:t>
      </w:r>
    </w:p>
    <w:p w14:paraId="61F80C40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Mitchell</w:t>
      </w:r>
      <w:proofErr w:type="spellEnd"/>
      <w:r w:rsidRPr="004C6EC1">
        <w:rPr>
          <w:rFonts w:cstheme="minorHAnsi"/>
          <w:sz w:val="20"/>
        </w:rPr>
        <w:t xml:space="preserve"> ML, Klein RZ. </w:t>
      </w:r>
      <w:proofErr w:type="spellStart"/>
      <w:r w:rsidRPr="004C6EC1">
        <w:rPr>
          <w:rFonts w:cstheme="minorHAnsi"/>
          <w:sz w:val="20"/>
        </w:rPr>
        <w:t>The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sequelae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untreated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maternal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. Eur J </w:t>
      </w:r>
      <w:proofErr w:type="spellStart"/>
      <w:r w:rsidRPr="004C6EC1">
        <w:rPr>
          <w:rFonts w:cstheme="minorHAnsi"/>
          <w:sz w:val="20"/>
        </w:rPr>
        <w:t>Endocrinol</w:t>
      </w:r>
      <w:proofErr w:type="spellEnd"/>
      <w:r w:rsidRPr="004C6EC1">
        <w:rPr>
          <w:rFonts w:cstheme="minorHAnsi"/>
          <w:sz w:val="20"/>
        </w:rPr>
        <w:t xml:space="preserve">. 2004 Nov;151 </w:t>
      </w:r>
      <w:proofErr w:type="spellStart"/>
      <w:r w:rsidRPr="004C6EC1">
        <w:rPr>
          <w:rFonts w:cstheme="minorHAnsi"/>
          <w:sz w:val="20"/>
        </w:rPr>
        <w:t>Suppl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gramStart"/>
      <w:r w:rsidRPr="004C6EC1">
        <w:rPr>
          <w:rFonts w:cstheme="minorHAnsi"/>
          <w:sz w:val="20"/>
        </w:rPr>
        <w:t>3:U</w:t>
      </w:r>
      <w:proofErr w:type="gramEnd"/>
      <w:r w:rsidRPr="004C6EC1">
        <w:rPr>
          <w:rFonts w:cstheme="minorHAnsi"/>
          <w:sz w:val="20"/>
        </w:rPr>
        <w:t xml:space="preserve">45-8. </w:t>
      </w:r>
    </w:p>
    <w:p w14:paraId="03FADBDB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Nazarpour</w:t>
      </w:r>
      <w:proofErr w:type="spellEnd"/>
      <w:r w:rsidRPr="004C6EC1">
        <w:rPr>
          <w:rFonts w:cstheme="minorHAnsi"/>
          <w:sz w:val="20"/>
        </w:rPr>
        <w:t xml:space="preserve"> S, </w:t>
      </w:r>
      <w:proofErr w:type="spellStart"/>
      <w:r w:rsidRPr="004C6EC1">
        <w:rPr>
          <w:rFonts w:cstheme="minorHAnsi"/>
          <w:sz w:val="20"/>
        </w:rPr>
        <w:t>Ramezani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Tehrani</w:t>
      </w:r>
      <w:proofErr w:type="spellEnd"/>
      <w:r w:rsidRPr="004C6EC1">
        <w:rPr>
          <w:rFonts w:cstheme="minorHAnsi"/>
          <w:sz w:val="20"/>
        </w:rPr>
        <w:t xml:space="preserve"> F, </w:t>
      </w:r>
      <w:proofErr w:type="spellStart"/>
      <w:r w:rsidRPr="004C6EC1">
        <w:rPr>
          <w:rFonts w:cstheme="minorHAnsi"/>
          <w:sz w:val="20"/>
        </w:rPr>
        <w:t>Amiri</w:t>
      </w:r>
      <w:proofErr w:type="spellEnd"/>
      <w:r w:rsidRPr="004C6EC1">
        <w:rPr>
          <w:rFonts w:cstheme="minorHAnsi"/>
          <w:sz w:val="20"/>
        </w:rPr>
        <w:t xml:space="preserve"> M, </w:t>
      </w:r>
      <w:proofErr w:type="spellStart"/>
      <w:r w:rsidRPr="004C6EC1">
        <w:rPr>
          <w:rFonts w:cstheme="minorHAnsi"/>
          <w:sz w:val="20"/>
        </w:rPr>
        <w:t>Bidhendi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Yarandi</w:t>
      </w:r>
      <w:proofErr w:type="spellEnd"/>
      <w:r w:rsidRPr="004C6EC1">
        <w:rPr>
          <w:rFonts w:cstheme="minorHAnsi"/>
          <w:sz w:val="20"/>
        </w:rPr>
        <w:t xml:space="preserve"> R, </w:t>
      </w:r>
      <w:proofErr w:type="spellStart"/>
      <w:r w:rsidRPr="004C6EC1">
        <w:rPr>
          <w:rFonts w:cstheme="minorHAnsi"/>
          <w:sz w:val="20"/>
        </w:rPr>
        <w:t>Azizi</w:t>
      </w:r>
      <w:proofErr w:type="spellEnd"/>
      <w:r w:rsidRPr="004C6EC1">
        <w:rPr>
          <w:rFonts w:cstheme="minorHAnsi"/>
          <w:sz w:val="20"/>
        </w:rPr>
        <w:t xml:space="preserve"> F.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treatment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outcomes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women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with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: a 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 xml:space="preserve"> and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. Arch </w:t>
      </w:r>
      <w:proofErr w:type="spellStart"/>
      <w:r w:rsidRPr="004C6EC1">
        <w:rPr>
          <w:rFonts w:cstheme="minorHAnsi"/>
          <w:sz w:val="20"/>
        </w:rPr>
        <w:t>Gynecol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Obstet</w:t>
      </w:r>
      <w:proofErr w:type="spellEnd"/>
      <w:r w:rsidRPr="004C6EC1">
        <w:rPr>
          <w:rFonts w:cstheme="minorHAnsi"/>
          <w:sz w:val="20"/>
        </w:rPr>
        <w:t xml:space="preserve">. 2019 Oct;300(4):805-819. </w:t>
      </w:r>
    </w:p>
    <w:p w14:paraId="49D1038D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Negro</w:t>
      </w:r>
      <w:proofErr w:type="spellEnd"/>
      <w:r w:rsidRPr="00ED648B">
        <w:rPr>
          <w:rFonts w:cstheme="minorHAnsi"/>
          <w:sz w:val="20"/>
        </w:rPr>
        <w:t xml:space="preserve"> R, </w:t>
      </w:r>
      <w:proofErr w:type="spellStart"/>
      <w:r w:rsidRPr="00ED648B">
        <w:rPr>
          <w:rFonts w:cstheme="minorHAnsi"/>
          <w:sz w:val="20"/>
        </w:rPr>
        <w:t>Formoso</w:t>
      </w:r>
      <w:proofErr w:type="spellEnd"/>
      <w:r w:rsidRPr="00ED648B">
        <w:rPr>
          <w:rFonts w:cstheme="minorHAnsi"/>
          <w:sz w:val="20"/>
        </w:rPr>
        <w:t xml:space="preserve"> G, </w:t>
      </w:r>
      <w:proofErr w:type="spellStart"/>
      <w:r w:rsidRPr="00ED648B">
        <w:rPr>
          <w:rFonts w:cstheme="minorHAnsi"/>
          <w:sz w:val="20"/>
        </w:rPr>
        <w:t>Mangieri</w:t>
      </w:r>
      <w:proofErr w:type="spellEnd"/>
      <w:r w:rsidRPr="00ED648B">
        <w:rPr>
          <w:rFonts w:cstheme="minorHAnsi"/>
          <w:sz w:val="20"/>
        </w:rPr>
        <w:t xml:space="preserve"> T et al. </w:t>
      </w:r>
      <w:proofErr w:type="spellStart"/>
      <w:r w:rsidRPr="00ED648B">
        <w:rPr>
          <w:rFonts w:cstheme="minorHAnsi"/>
          <w:sz w:val="20"/>
        </w:rPr>
        <w:t>Levothyroxine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treatment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euthyroid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pregnant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women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with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autoimmune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disease</w:t>
      </w:r>
      <w:proofErr w:type="spellEnd"/>
      <w:r w:rsidRPr="00ED648B">
        <w:rPr>
          <w:rFonts w:cstheme="minorHAnsi"/>
          <w:sz w:val="20"/>
        </w:rPr>
        <w:t xml:space="preserve">: </w:t>
      </w:r>
      <w:proofErr w:type="spellStart"/>
      <w:r w:rsidRPr="00ED648B">
        <w:rPr>
          <w:rFonts w:cstheme="minorHAnsi"/>
          <w:sz w:val="20"/>
        </w:rPr>
        <w:t>effects</w:t>
      </w:r>
      <w:proofErr w:type="spellEnd"/>
      <w:r w:rsidRPr="00ED648B">
        <w:rPr>
          <w:rFonts w:cstheme="minorHAnsi"/>
          <w:sz w:val="20"/>
        </w:rPr>
        <w:t xml:space="preserve"> on </w:t>
      </w:r>
      <w:proofErr w:type="spellStart"/>
      <w:r w:rsidRPr="00ED648B">
        <w:rPr>
          <w:rFonts w:cstheme="minorHAnsi"/>
          <w:sz w:val="20"/>
        </w:rPr>
        <w:t>obstetrical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complications</w:t>
      </w:r>
      <w:proofErr w:type="spellEnd"/>
      <w:r w:rsidRPr="00ED648B">
        <w:rPr>
          <w:rFonts w:cstheme="minorHAnsi"/>
          <w:sz w:val="20"/>
        </w:rPr>
        <w:t xml:space="preserve">. J </w:t>
      </w:r>
      <w:proofErr w:type="spellStart"/>
      <w:r w:rsidRPr="00ED648B">
        <w:rPr>
          <w:rFonts w:cstheme="minorHAnsi"/>
          <w:sz w:val="20"/>
        </w:rPr>
        <w:t>Clin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Endocrinol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Metab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2006;91:2587</w:t>
      </w:r>
      <w:proofErr w:type="gramEnd"/>
      <w:r w:rsidRPr="00ED648B">
        <w:rPr>
          <w:rFonts w:cstheme="minorHAnsi"/>
          <w:sz w:val="20"/>
        </w:rPr>
        <w:t>–91.</w:t>
      </w:r>
    </w:p>
    <w:p w14:paraId="72820B64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Negro</w:t>
      </w:r>
      <w:proofErr w:type="spellEnd"/>
      <w:r w:rsidRPr="00ED648B">
        <w:rPr>
          <w:rFonts w:cstheme="minorHAnsi"/>
          <w:sz w:val="20"/>
        </w:rPr>
        <w:t xml:space="preserve"> R, </w:t>
      </w:r>
      <w:proofErr w:type="spellStart"/>
      <w:r w:rsidRPr="00ED648B">
        <w:rPr>
          <w:rFonts w:cstheme="minorHAnsi"/>
          <w:sz w:val="20"/>
        </w:rPr>
        <w:t>Mangieri</w:t>
      </w:r>
      <w:proofErr w:type="spellEnd"/>
      <w:r w:rsidRPr="00ED648B">
        <w:rPr>
          <w:rFonts w:cstheme="minorHAnsi"/>
          <w:sz w:val="20"/>
        </w:rPr>
        <w:t xml:space="preserve"> T, </w:t>
      </w:r>
      <w:proofErr w:type="spellStart"/>
      <w:r w:rsidRPr="00ED648B">
        <w:rPr>
          <w:rFonts w:cstheme="minorHAnsi"/>
          <w:sz w:val="20"/>
        </w:rPr>
        <w:t>Coppola</w:t>
      </w:r>
      <w:proofErr w:type="spellEnd"/>
      <w:r w:rsidRPr="00ED648B">
        <w:rPr>
          <w:rFonts w:cstheme="minorHAnsi"/>
          <w:sz w:val="20"/>
        </w:rPr>
        <w:t xml:space="preserve"> L et al. </w:t>
      </w:r>
      <w:proofErr w:type="spellStart"/>
      <w:r w:rsidRPr="00ED648B">
        <w:rPr>
          <w:rFonts w:cstheme="minorHAnsi"/>
          <w:sz w:val="20"/>
        </w:rPr>
        <w:t>Levothyroxine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treatment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peroxidase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antibody</w:t>
      </w:r>
      <w:proofErr w:type="spellEnd"/>
      <w:r w:rsidRPr="00ED648B">
        <w:rPr>
          <w:rFonts w:cstheme="minorHAnsi"/>
          <w:sz w:val="20"/>
        </w:rPr>
        <w:t xml:space="preserve">-positive </w:t>
      </w:r>
      <w:proofErr w:type="spellStart"/>
      <w:r w:rsidRPr="00ED648B">
        <w:rPr>
          <w:rFonts w:cstheme="minorHAnsi"/>
          <w:sz w:val="20"/>
        </w:rPr>
        <w:t>women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undergoing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assisted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reproduction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technologies</w:t>
      </w:r>
      <w:proofErr w:type="spellEnd"/>
      <w:r w:rsidRPr="00ED648B">
        <w:rPr>
          <w:rFonts w:cstheme="minorHAnsi"/>
          <w:sz w:val="20"/>
        </w:rPr>
        <w:t xml:space="preserve">: a </w:t>
      </w:r>
      <w:proofErr w:type="spellStart"/>
      <w:r w:rsidRPr="00ED648B">
        <w:rPr>
          <w:rFonts w:cstheme="minorHAnsi"/>
          <w:sz w:val="20"/>
        </w:rPr>
        <w:t>prospective</w:t>
      </w:r>
      <w:proofErr w:type="spellEnd"/>
      <w:r w:rsidRPr="00ED648B">
        <w:rPr>
          <w:rFonts w:cstheme="minorHAnsi"/>
          <w:sz w:val="20"/>
        </w:rPr>
        <w:t xml:space="preserve"> study. </w:t>
      </w:r>
      <w:proofErr w:type="spellStart"/>
      <w:r w:rsidRPr="00ED648B">
        <w:rPr>
          <w:rFonts w:cstheme="minorHAnsi"/>
          <w:sz w:val="20"/>
        </w:rPr>
        <w:t>Hum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Reprod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2005;20:1529</w:t>
      </w:r>
      <w:proofErr w:type="gramEnd"/>
      <w:r w:rsidRPr="00ED648B">
        <w:rPr>
          <w:rFonts w:cstheme="minorHAnsi"/>
          <w:sz w:val="20"/>
        </w:rPr>
        <w:t>–33.</w:t>
      </w:r>
    </w:p>
    <w:p w14:paraId="01FBED00" w14:textId="77777777" w:rsidR="007E36E9" w:rsidRPr="00ED648B" w:rsidRDefault="007E36E9" w:rsidP="007E36E9">
      <w:pPr>
        <w:rPr>
          <w:rFonts w:cstheme="minorHAnsi"/>
          <w:sz w:val="20"/>
        </w:rPr>
      </w:pPr>
      <w:r w:rsidRPr="00ED648B">
        <w:rPr>
          <w:rFonts w:cstheme="minorHAnsi"/>
          <w:sz w:val="20"/>
        </w:rPr>
        <w:t xml:space="preserve">Pop VJ, de </w:t>
      </w:r>
      <w:proofErr w:type="spellStart"/>
      <w:r w:rsidRPr="00ED648B">
        <w:rPr>
          <w:rFonts w:cstheme="minorHAnsi"/>
          <w:sz w:val="20"/>
        </w:rPr>
        <w:t>Vries</w:t>
      </w:r>
      <w:proofErr w:type="spellEnd"/>
      <w:r w:rsidRPr="00ED648B">
        <w:rPr>
          <w:rFonts w:cstheme="minorHAnsi"/>
          <w:sz w:val="20"/>
        </w:rPr>
        <w:t xml:space="preserve"> E, van </w:t>
      </w:r>
      <w:proofErr w:type="spellStart"/>
      <w:r w:rsidRPr="00ED648B">
        <w:rPr>
          <w:rFonts w:cstheme="minorHAnsi"/>
          <w:sz w:val="20"/>
        </w:rPr>
        <w:t>Baar</w:t>
      </w:r>
      <w:proofErr w:type="spellEnd"/>
      <w:r w:rsidRPr="00ED648B">
        <w:rPr>
          <w:rFonts w:cstheme="minorHAnsi"/>
          <w:sz w:val="20"/>
        </w:rPr>
        <w:t xml:space="preserve"> AL et al. </w:t>
      </w:r>
      <w:proofErr w:type="spellStart"/>
      <w:r w:rsidRPr="00ED648B">
        <w:rPr>
          <w:rFonts w:cstheme="minorHAnsi"/>
          <w:sz w:val="20"/>
        </w:rPr>
        <w:t>Maternal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peroxidase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antibodies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during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: a marker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impaired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child</w:t>
      </w:r>
      <w:proofErr w:type="spellEnd"/>
      <w:r w:rsidRPr="00ED648B">
        <w:rPr>
          <w:rFonts w:cstheme="minorHAnsi"/>
          <w:sz w:val="20"/>
        </w:rPr>
        <w:t xml:space="preserve"> development? J </w:t>
      </w:r>
      <w:proofErr w:type="spellStart"/>
      <w:r w:rsidRPr="00ED648B">
        <w:rPr>
          <w:rFonts w:cstheme="minorHAnsi"/>
          <w:sz w:val="20"/>
        </w:rPr>
        <w:t>Clin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Endorinol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Metab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1995;80:3561</w:t>
      </w:r>
      <w:proofErr w:type="gramEnd"/>
      <w:r w:rsidRPr="00ED648B">
        <w:rPr>
          <w:rFonts w:cstheme="minorHAnsi"/>
          <w:sz w:val="20"/>
        </w:rPr>
        <w:t>–6.</w:t>
      </w:r>
    </w:p>
    <w:p w14:paraId="38BFBB3E" w14:textId="77777777" w:rsidR="007E36E9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Practice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Committee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the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American</w:t>
      </w:r>
      <w:proofErr w:type="spellEnd"/>
      <w:r w:rsidRPr="004C6EC1">
        <w:rPr>
          <w:rFonts w:cstheme="minorHAnsi"/>
          <w:sz w:val="20"/>
        </w:rPr>
        <w:t xml:space="preserve"> Society </w:t>
      </w:r>
      <w:proofErr w:type="spellStart"/>
      <w:r w:rsidRPr="004C6EC1">
        <w:rPr>
          <w:rFonts w:cstheme="minorHAnsi"/>
          <w:sz w:val="20"/>
        </w:rPr>
        <w:t>for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Reproductive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Medicine</w:t>
      </w:r>
      <w:proofErr w:type="spellEnd"/>
      <w:r w:rsidRPr="004C6EC1">
        <w:rPr>
          <w:rFonts w:cstheme="minorHAnsi"/>
          <w:sz w:val="20"/>
        </w:rPr>
        <w:t xml:space="preserve">. </w:t>
      </w:r>
      <w:proofErr w:type="spellStart"/>
      <w:r w:rsidRPr="004C6EC1">
        <w:rPr>
          <w:rFonts w:cstheme="minorHAnsi"/>
          <w:sz w:val="20"/>
        </w:rPr>
        <w:t>Electronic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address</w:t>
      </w:r>
      <w:proofErr w:type="spellEnd"/>
      <w:r w:rsidRPr="004C6EC1">
        <w:rPr>
          <w:rFonts w:cstheme="minorHAnsi"/>
          <w:sz w:val="20"/>
        </w:rPr>
        <w:t xml:space="preserve">: asrm@asrm.org.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the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infertile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female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population</w:t>
      </w:r>
      <w:proofErr w:type="spellEnd"/>
      <w:r w:rsidRPr="004C6EC1">
        <w:rPr>
          <w:rFonts w:cstheme="minorHAnsi"/>
          <w:sz w:val="20"/>
        </w:rPr>
        <w:t xml:space="preserve">: a </w:t>
      </w:r>
      <w:proofErr w:type="spellStart"/>
      <w:r w:rsidRPr="004C6EC1">
        <w:rPr>
          <w:rFonts w:cstheme="minorHAnsi"/>
          <w:sz w:val="20"/>
        </w:rPr>
        <w:t>guideline</w:t>
      </w:r>
      <w:proofErr w:type="spellEnd"/>
      <w:r w:rsidRPr="004C6EC1">
        <w:rPr>
          <w:rFonts w:cstheme="minorHAnsi"/>
          <w:sz w:val="20"/>
        </w:rPr>
        <w:t xml:space="preserve">. </w:t>
      </w:r>
      <w:proofErr w:type="spellStart"/>
      <w:r w:rsidRPr="004C6EC1">
        <w:rPr>
          <w:rFonts w:cstheme="minorHAnsi"/>
          <w:sz w:val="20"/>
        </w:rPr>
        <w:t>Fertil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Steril</w:t>
      </w:r>
      <w:proofErr w:type="spellEnd"/>
      <w:r w:rsidRPr="004C6EC1">
        <w:rPr>
          <w:rFonts w:cstheme="minorHAnsi"/>
          <w:sz w:val="20"/>
        </w:rPr>
        <w:t xml:space="preserve">. 2024 May;121(5):765-782. </w:t>
      </w:r>
    </w:p>
    <w:p w14:paraId="2E7F13BE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Provinciatto</w:t>
      </w:r>
      <w:proofErr w:type="spellEnd"/>
      <w:r w:rsidRPr="004C6EC1">
        <w:rPr>
          <w:rFonts w:cstheme="minorHAnsi"/>
          <w:sz w:val="20"/>
        </w:rPr>
        <w:t xml:space="preserve"> H, </w:t>
      </w:r>
      <w:proofErr w:type="spellStart"/>
      <w:r w:rsidRPr="004C6EC1">
        <w:rPr>
          <w:rFonts w:cstheme="minorHAnsi"/>
          <w:sz w:val="20"/>
        </w:rPr>
        <w:t>Moreira</w:t>
      </w:r>
      <w:proofErr w:type="spellEnd"/>
      <w:r w:rsidRPr="004C6EC1">
        <w:rPr>
          <w:rFonts w:cstheme="minorHAnsi"/>
          <w:sz w:val="20"/>
        </w:rPr>
        <w:t xml:space="preserve"> MVB, </w:t>
      </w:r>
      <w:proofErr w:type="spellStart"/>
      <w:r w:rsidRPr="004C6EC1">
        <w:rPr>
          <w:rFonts w:cstheme="minorHAnsi"/>
          <w:sz w:val="20"/>
        </w:rPr>
        <w:t>Neves</w:t>
      </w:r>
      <w:proofErr w:type="spellEnd"/>
      <w:r w:rsidRPr="004C6EC1">
        <w:rPr>
          <w:rFonts w:cstheme="minorHAnsi"/>
          <w:sz w:val="20"/>
        </w:rPr>
        <w:t xml:space="preserve"> GR, De </w:t>
      </w:r>
      <w:proofErr w:type="spellStart"/>
      <w:r w:rsidRPr="004C6EC1">
        <w:rPr>
          <w:rFonts w:cstheme="minorHAnsi"/>
          <w:sz w:val="20"/>
        </w:rPr>
        <w:t>Freitas</w:t>
      </w:r>
      <w:proofErr w:type="spellEnd"/>
      <w:r w:rsidRPr="004C6EC1">
        <w:rPr>
          <w:rFonts w:cstheme="minorHAnsi"/>
          <w:sz w:val="20"/>
        </w:rPr>
        <w:t xml:space="preserve"> LR, </w:t>
      </w:r>
      <w:proofErr w:type="spellStart"/>
      <w:r w:rsidRPr="004C6EC1">
        <w:rPr>
          <w:rFonts w:cstheme="minorHAnsi"/>
          <w:sz w:val="20"/>
        </w:rPr>
        <w:t>Mitsui</w:t>
      </w:r>
      <w:proofErr w:type="spellEnd"/>
      <w:r w:rsidRPr="004C6EC1">
        <w:rPr>
          <w:rFonts w:cstheme="minorHAnsi"/>
          <w:sz w:val="20"/>
        </w:rPr>
        <w:t xml:space="preserve"> HC, </w:t>
      </w:r>
      <w:proofErr w:type="spellStart"/>
      <w:r w:rsidRPr="004C6EC1">
        <w:rPr>
          <w:rFonts w:cstheme="minorHAnsi"/>
          <w:sz w:val="20"/>
        </w:rPr>
        <w:t>Zhang</w:t>
      </w:r>
      <w:proofErr w:type="spellEnd"/>
      <w:r w:rsidRPr="004C6EC1">
        <w:rPr>
          <w:rFonts w:cstheme="minorHAnsi"/>
          <w:sz w:val="20"/>
        </w:rPr>
        <w:t xml:space="preserve"> JMF, </w:t>
      </w:r>
      <w:proofErr w:type="spellStart"/>
      <w:r w:rsidRPr="004C6EC1">
        <w:rPr>
          <w:rFonts w:cstheme="minorHAnsi"/>
          <w:sz w:val="20"/>
        </w:rPr>
        <w:t>Araujo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Júnior</w:t>
      </w:r>
      <w:proofErr w:type="spellEnd"/>
      <w:r w:rsidRPr="004C6EC1">
        <w:rPr>
          <w:rFonts w:cstheme="minorHAnsi"/>
          <w:sz w:val="20"/>
        </w:rPr>
        <w:t xml:space="preserve"> E.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for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during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: </w:t>
      </w:r>
      <w:proofErr w:type="spellStart"/>
      <w:r w:rsidRPr="004C6EC1">
        <w:rPr>
          <w:rFonts w:cstheme="minorHAnsi"/>
          <w:sz w:val="20"/>
        </w:rPr>
        <w:t>an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updated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 xml:space="preserve"> and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randomized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controlled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trials</w:t>
      </w:r>
      <w:proofErr w:type="spellEnd"/>
      <w:r w:rsidRPr="004C6EC1">
        <w:rPr>
          <w:rFonts w:cstheme="minorHAnsi"/>
          <w:sz w:val="20"/>
        </w:rPr>
        <w:t xml:space="preserve">. Arch </w:t>
      </w:r>
      <w:proofErr w:type="spellStart"/>
      <w:r w:rsidRPr="004C6EC1">
        <w:rPr>
          <w:rFonts w:cstheme="minorHAnsi"/>
          <w:sz w:val="20"/>
        </w:rPr>
        <w:t>Gynecol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Obstet</w:t>
      </w:r>
      <w:proofErr w:type="spellEnd"/>
      <w:r w:rsidRPr="004C6EC1">
        <w:rPr>
          <w:rFonts w:cstheme="minorHAnsi"/>
          <w:sz w:val="20"/>
        </w:rPr>
        <w:t xml:space="preserve">. 2024 Jun;309(6):2387-2393. </w:t>
      </w:r>
    </w:p>
    <w:p w14:paraId="5C251ED0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Rao</w:t>
      </w:r>
      <w:proofErr w:type="spellEnd"/>
      <w:r w:rsidRPr="004C6EC1">
        <w:rPr>
          <w:rFonts w:cstheme="minorHAnsi"/>
          <w:sz w:val="20"/>
        </w:rPr>
        <w:t xml:space="preserve"> M, </w:t>
      </w:r>
      <w:proofErr w:type="spellStart"/>
      <w:r w:rsidRPr="004C6EC1">
        <w:rPr>
          <w:rFonts w:cstheme="minorHAnsi"/>
          <w:sz w:val="20"/>
        </w:rPr>
        <w:t>Zeng</w:t>
      </w:r>
      <w:proofErr w:type="spellEnd"/>
      <w:r w:rsidRPr="004C6EC1">
        <w:rPr>
          <w:rFonts w:cstheme="minorHAnsi"/>
          <w:sz w:val="20"/>
        </w:rPr>
        <w:t xml:space="preserve"> Z, </w:t>
      </w:r>
      <w:proofErr w:type="spellStart"/>
      <w:r w:rsidRPr="004C6EC1">
        <w:rPr>
          <w:rFonts w:cstheme="minorHAnsi"/>
          <w:sz w:val="20"/>
        </w:rPr>
        <w:t>Zhou</w:t>
      </w:r>
      <w:proofErr w:type="spellEnd"/>
      <w:r w:rsidRPr="004C6EC1">
        <w:rPr>
          <w:rFonts w:cstheme="minorHAnsi"/>
          <w:sz w:val="20"/>
        </w:rPr>
        <w:t xml:space="preserve"> F, </w:t>
      </w:r>
      <w:proofErr w:type="spellStart"/>
      <w:r w:rsidRPr="004C6EC1">
        <w:rPr>
          <w:rFonts w:cstheme="minorHAnsi"/>
          <w:sz w:val="20"/>
        </w:rPr>
        <w:t>Wang</w:t>
      </w:r>
      <w:proofErr w:type="spellEnd"/>
      <w:r w:rsidRPr="004C6EC1">
        <w:rPr>
          <w:rFonts w:cstheme="minorHAnsi"/>
          <w:sz w:val="20"/>
        </w:rPr>
        <w:t xml:space="preserve"> H, </w:t>
      </w:r>
      <w:proofErr w:type="spellStart"/>
      <w:r w:rsidRPr="004C6EC1">
        <w:rPr>
          <w:rFonts w:cstheme="minorHAnsi"/>
          <w:sz w:val="20"/>
        </w:rPr>
        <w:t>Liu</w:t>
      </w:r>
      <w:proofErr w:type="spellEnd"/>
      <w:r w:rsidRPr="004C6EC1">
        <w:rPr>
          <w:rFonts w:cstheme="minorHAnsi"/>
          <w:sz w:val="20"/>
        </w:rPr>
        <w:t xml:space="preserve"> J, </w:t>
      </w:r>
      <w:proofErr w:type="spellStart"/>
      <w:r w:rsidRPr="004C6EC1">
        <w:rPr>
          <w:rFonts w:cstheme="minorHAnsi"/>
          <w:sz w:val="20"/>
        </w:rPr>
        <w:t>Wang</w:t>
      </w:r>
      <w:proofErr w:type="spellEnd"/>
      <w:r w:rsidRPr="004C6EC1">
        <w:rPr>
          <w:rFonts w:cstheme="minorHAnsi"/>
          <w:sz w:val="20"/>
        </w:rPr>
        <w:t xml:space="preserve"> R, </w:t>
      </w:r>
      <w:proofErr w:type="spellStart"/>
      <w:r w:rsidRPr="004C6EC1">
        <w:rPr>
          <w:rFonts w:cstheme="minorHAnsi"/>
          <w:sz w:val="20"/>
        </w:rPr>
        <w:t>Wen</w:t>
      </w:r>
      <w:proofErr w:type="spellEnd"/>
      <w:r w:rsidRPr="004C6EC1">
        <w:rPr>
          <w:rFonts w:cstheme="minorHAnsi"/>
          <w:sz w:val="20"/>
        </w:rPr>
        <w:t xml:space="preserve"> Y, </w:t>
      </w:r>
      <w:proofErr w:type="spellStart"/>
      <w:r w:rsidRPr="004C6EC1">
        <w:rPr>
          <w:rFonts w:cstheme="minorHAnsi"/>
          <w:sz w:val="20"/>
        </w:rPr>
        <w:t>Yang</w:t>
      </w:r>
      <w:proofErr w:type="spellEnd"/>
      <w:r w:rsidRPr="004C6EC1">
        <w:rPr>
          <w:rFonts w:cstheme="minorHAnsi"/>
          <w:sz w:val="20"/>
        </w:rPr>
        <w:t xml:space="preserve"> Z, </w:t>
      </w:r>
      <w:proofErr w:type="spellStart"/>
      <w:r w:rsidRPr="004C6EC1">
        <w:rPr>
          <w:rFonts w:cstheme="minorHAnsi"/>
          <w:sz w:val="20"/>
        </w:rPr>
        <w:t>Su</w:t>
      </w:r>
      <w:proofErr w:type="spellEnd"/>
      <w:r w:rsidRPr="004C6EC1">
        <w:rPr>
          <w:rFonts w:cstheme="minorHAnsi"/>
          <w:sz w:val="20"/>
        </w:rPr>
        <w:t xml:space="preserve"> C, </w:t>
      </w:r>
      <w:proofErr w:type="spellStart"/>
      <w:r w:rsidRPr="004C6EC1">
        <w:rPr>
          <w:rFonts w:cstheme="minorHAnsi"/>
          <w:sz w:val="20"/>
        </w:rPr>
        <w:t>Su</w:t>
      </w:r>
      <w:proofErr w:type="spellEnd"/>
      <w:r w:rsidRPr="004C6EC1">
        <w:rPr>
          <w:rFonts w:cstheme="minorHAnsi"/>
          <w:sz w:val="20"/>
        </w:rPr>
        <w:t xml:space="preserve"> Z, </w:t>
      </w:r>
      <w:proofErr w:type="spellStart"/>
      <w:r w:rsidRPr="004C6EC1">
        <w:rPr>
          <w:rFonts w:cstheme="minorHAnsi"/>
          <w:sz w:val="20"/>
        </w:rPr>
        <w:t>Zhao</w:t>
      </w:r>
      <w:proofErr w:type="spellEnd"/>
      <w:r w:rsidRPr="004C6EC1">
        <w:rPr>
          <w:rFonts w:cstheme="minorHAnsi"/>
          <w:sz w:val="20"/>
        </w:rPr>
        <w:t xml:space="preserve"> S, Tang L. </w:t>
      </w:r>
      <w:proofErr w:type="spellStart"/>
      <w:r w:rsidRPr="004C6EC1">
        <w:rPr>
          <w:rFonts w:cstheme="minorHAnsi"/>
          <w:sz w:val="20"/>
        </w:rPr>
        <w:t>Effect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supplementation</w:t>
      </w:r>
      <w:proofErr w:type="spellEnd"/>
      <w:r w:rsidRPr="004C6EC1">
        <w:rPr>
          <w:rFonts w:cstheme="minorHAnsi"/>
          <w:sz w:val="20"/>
        </w:rPr>
        <w:t xml:space="preserve"> on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loss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preterm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birth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women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with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thyroid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autoimmunity</w:t>
      </w:r>
      <w:proofErr w:type="spellEnd"/>
      <w:r w:rsidRPr="004C6EC1">
        <w:rPr>
          <w:rFonts w:cstheme="minorHAnsi"/>
          <w:sz w:val="20"/>
        </w:rPr>
        <w:t xml:space="preserve">: a 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 xml:space="preserve"> and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. </w:t>
      </w:r>
      <w:proofErr w:type="spellStart"/>
      <w:r w:rsidRPr="004C6EC1">
        <w:rPr>
          <w:rFonts w:cstheme="minorHAnsi"/>
          <w:sz w:val="20"/>
        </w:rPr>
        <w:t>Hum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Reprod</w:t>
      </w:r>
      <w:proofErr w:type="spellEnd"/>
      <w:r w:rsidRPr="004C6EC1">
        <w:rPr>
          <w:rFonts w:cstheme="minorHAnsi"/>
          <w:sz w:val="20"/>
        </w:rPr>
        <w:t xml:space="preserve"> Update. 2019 May 1;25(3):344-361. </w:t>
      </w:r>
    </w:p>
    <w:p w14:paraId="171BF3A5" w14:textId="77777777" w:rsidR="007E36E9" w:rsidRPr="00ED648B" w:rsidRDefault="007E36E9" w:rsidP="007E36E9">
      <w:pPr>
        <w:rPr>
          <w:rFonts w:cstheme="minorHAnsi"/>
          <w:sz w:val="20"/>
        </w:rPr>
      </w:pPr>
      <w:r w:rsidRPr="00ED648B">
        <w:rPr>
          <w:rFonts w:cstheme="minorHAnsi"/>
          <w:sz w:val="20"/>
        </w:rPr>
        <w:lastRenderedPageBreak/>
        <w:t xml:space="preserve">Rosen IB, </w:t>
      </w:r>
      <w:proofErr w:type="spellStart"/>
      <w:r w:rsidRPr="00ED648B">
        <w:rPr>
          <w:rFonts w:cstheme="minorHAnsi"/>
          <w:sz w:val="20"/>
        </w:rPr>
        <w:t>Walfish</w:t>
      </w:r>
      <w:proofErr w:type="spellEnd"/>
      <w:r w:rsidRPr="00ED648B">
        <w:rPr>
          <w:rFonts w:cstheme="minorHAnsi"/>
          <w:sz w:val="20"/>
        </w:rPr>
        <w:t xml:space="preserve"> PG.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as a </w:t>
      </w:r>
      <w:proofErr w:type="spellStart"/>
      <w:r w:rsidRPr="00ED648B">
        <w:rPr>
          <w:rFonts w:cstheme="minorHAnsi"/>
          <w:sz w:val="20"/>
        </w:rPr>
        <w:t>predisposing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factor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neoplasia</w:t>
      </w:r>
      <w:proofErr w:type="spellEnd"/>
      <w:r w:rsidRPr="00ED648B">
        <w:rPr>
          <w:rFonts w:cstheme="minorHAnsi"/>
          <w:sz w:val="20"/>
        </w:rPr>
        <w:t xml:space="preserve">. Arch </w:t>
      </w:r>
      <w:proofErr w:type="spellStart"/>
      <w:r w:rsidRPr="00ED648B">
        <w:rPr>
          <w:rFonts w:cstheme="minorHAnsi"/>
          <w:sz w:val="20"/>
        </w:rPr>
        <w:t>Surg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1986;121:1287</w:t>
      </w:r>
      <w:proofErr w:type="gramEnd"/>
      <w:r w:rsidRPr="00ED648B">
        <w:rPr>
          <w:rFonts w:cstheme="minorHAnsi"/>
          <w:sz w:val="20"/>
        </w:rPr>
        <w:t>–90.</w:t>
      </w:r>
    </w:p>
    <w:p w14:paraId="265ED1DE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Sankoda</w:t>
      </w:r>
      <w:proofErr w:type="spellEnd"/>
      <w:r w:rsidRPr="004C6EC1">
        <w:rPr>
          <w:rFonts w:cstheme="minorHAnsi"/>
          <w:sz w:val="20"/>
        </w:rPr>
        <w:t xml:space="preserve"> A, Suzuki H, </w:t>
      </w:r>
      <w:proofErr w:type="spellStart"/>
      <w:r w:rsidRPr="004C6EC1">
        <w:rPr>
          <w:rFonts w:cstheme="minorHAnsi"/>
          <w:sz w:val="20"/>
        </w:rPr>
        <w:t>Imaizumi</w:t>
      </w:r>
      <w:proofErr w:type="spellEnd"/>
      <w:r w:rsidRPr="004C6EC1">
        <w:rPr>
          <w:rFonts w:cstheme="minorHAnsi"/>
          <w:sz w:val="20"/>
        </w:rPr>
        <w:t xml:space="preserve"> M, </w:t>
      </w:r>
      <w:proofErr w:type="spellStart"/>
      <w:r w:rsidRPr="004C6EC1">
        <w:rPr>
          <w:rFonts w:cstheme="minorHAnsi"/>
          <w:sz w:val="20"/>
        </w:rPr>
        <w:t>Yoshihara</w:t>
      </w:r>
      <w:proofErr w:type="spellEnd"/>
      <w:r w:rsidRPr="004C6EC1">
        <w:rPr>
          <w:rFonts w:cstheme="minorHAnsi"/>
          <w:sz w:val="20"/>
        </w:rPr>
        <w:t xml:space="preserve"> A, </w:t>
      </w:r>
      <w:proofErr w:type="spellStart"/>
      <w:r w:rsidRPr="004C6EC1">
        <w:rPr>
          <w:rFonts w:cstheme="minorHAnsi"/>
          <w:sz w:val="20"/>
        </w:rPr>
        <w:t>Kobayashi</w:t>
      </w:r>
      <w:proofErr w:type="spellEnd"/>
      <w:r w:rsidRPr="004C6EC1">
        <w:rPr>
          <w:rFonts w:cstheme="minorHAnsi"/>
          <w:sz w:val="20"/>
        </w:rPr>
        <w:t xml:space="preserve"> S, </w:t>
      </w:r>
      <w:proofErr w:type="spellStart"/>
      <w:r w:rsidRPr="004C6EC1">
        <w:rPr>
          <w:rFonts w:cstheme="minorHAnsi"/>
          <w:sz w:val="20"/>
        </w:rPr>
        <w:t>Katai</w:t>
      </w:r>
      <w:proofErr w:type="spellEnd"/>
      <w:r w:rsidRPr="004C6EC1">
        <w:rPr>
          <w:rFonts w:cstheme="minorHAnsi"/>
          <w:sz w:val="20"/>
        </w:rPr>
        <w:t xml:space="preserve"> M, Hamada K, </w:t>
      </w:r>
      <w:proofErr w:type="spellStart"/>
      <w:r w:rsidRPr="004C6EC1">
        <w:rPr>
          <w:rFonts w:cstheme="minorHAnsi"/>
          <w:sz w:val="20"/>
        </w:rPr>
        <w:t>Hidaka</w:t>
      </w:r>
      <w:proofErr w:type="spellEnd"/>
      <w:r w:rsidRPr="004C6EC1">
        <w:rPr>
          <w:rFonts w:cstheme="minorHAnsi"/>
          <w:sz w:val="20"/>
        </w:rPr>
        <w:t xml:space="preserve"> Y, </w:t>
      </w:r>
      <w:proofErr w:type="spellStart"/>
      <w:r w:rsidRPr="004C6EC1">
        <w:rPr>
          <w:rFonts w:cstheme="minorHAnsi"/>
          <w:sz w:val="20"/>
        </w:rPr>
        <w:t>Yoshihara</w:t>
      </w:r>
      <w:proofErr w:type="spellEnd"/>
      <w:r w:rsidRPr="004C6EC1">
        <w:rPr>
          <w:rFonts w:cstheme="minorHAnsi"/>
          <w:sz w:val="20"/>
        </w:rPr>
        <w:t xml:space="preserve"> A, </w:t>
      </w:r>
      <w:proofErr w:type="spellStart"/>
      <w:r w:rsidRPr="004C6EC1">
        <w:rPr>
          <w:rFonts w:cstheme="minorHAnsi"/>
          <w:sz w:val="20"/>
        </w:rPr>
        <w:t>Nakamura</w:t>
      </w:r>
      <w:proofErr w:type="spellEnd"/>
      <w:r w:rsidRPr="004C6EC1">
        <w:rPr>
          <w:rFonts w:cstheme="minorHAnsi"/>
          <w:sz w:val="20"/>
        </w:rPr>
        <w:t xml:space="preserve"> H, </w:t>
      </w:r>
      <w:proofErr w:type="spellStart"/>
      <w:r w:rsidRPr="004C6EC1">
        <w:rPr>
          <w:rFonts w:cstheme="minorHAnsi"/>
          <w:sz w:val="20"/>
        </w:rPr>
        <w:t>Kubota</w:t>
      </w:r>
      <w:proofErr w:type="spellEnd"/>
      <w:r w:rsidRPr="004C6EC1">
        <w:rPr>
          <w:rFonts w:cstheme="minorHAnsi"/>
          <w:sz w:val="20"/>
        </w:rPr>
        <w:t xml:space="preserve"> S, </w:t>
      </w:r>
      <w:proofErr w:type="spellStart"/>
      <w:r w:rsidRPr="004C6EC1">
        <w:rPr>
          <w:rFonts w:cstheme="minorHAnsi"/>
          <w:sz w:val="20"/>
        </w:rPr>
        <w:t>Kakita-Kobayashi</w:t>
      </w:r>
      <w:proofErr w:type="spellEnd"/>
      <w:r w:rsidRPr="004C6EC1">
        <w:rPr>
          <w:rFonts w:cstheme="minorHAnsi"/>
          <w:sz w:val="20"/>
        </w:rPr>
        <w:t xml:space="preserve"> M, </w:t>
      </w:r>
      <w:proofErr w:type="spellStart"/>
      <w:r w:rsidRPr="004C6EC1">
        <w:rPr>
          <w:rFonts w:cstheme="minorHAnsi"/>
          <w:sz w:val="20"/>
        </w:rPr>
        <w:t>Iwase</w:t>
      </w:r>
      <w:proofErr w:type="spellEnd"/>
      <w:r w:rsidRPr="004C6EC1">
        <w:rPr>
          <w:rFonts w:cstheme="minorHAnsi"/>
          <w:sz w:val="20"/>
        </w:rPr>
        <w:t xml:space="preserve"> A, </w:t>
      </w:r>
      <w:proofErr w:type="spellStart"/>
      <w:r w:rsidRPr="004C6EC1">
        <w:rPr>
          <w:rFonts w:cstheme="minorHAnsi"/>
          <w:sz w:val="20"/>
        </w:rPr>
        <w:t>Sugiyama</w:t>
      </w:r>
      <w:proofErr w:type="spellEnd"/>
      <w:r w:rsidRPr="004C6EC1">
        <w:rPr>
          <w:rFonts w:cstheme="minorHAnsi"/>
          <w:sz w:val="20"/>
        </w:rPr>
        <w:t xml:space="preserve"> T, Ota E, </w:t>
      </w:r>
      <w:proofErr w:type="spellStart"/>
      <w:r w:rsidRPr="004C6EC1">
        <w:rPr>
          <w:rFonts w:cstheme="minorHAnsi"/>
          <w:sz w:val="20"/>
        </w:rPr>
        <w:t>Arata</w:t>
      </w:r>
      <w:proofErr w:type="spellEnd"/>
      <w:r w:rsidRPr="004C6EC1">
        <w:rPr>
          <w:rFonts w:cstheme="minorHAnsi"/>
          <w:sz w:val="20"/>
        </w:rPr>
        <w:t xml:space="preserve"> N. </w:t>
      </w:r>
      <w:proofErr w:type="spellStart"/>
      <w:r w:rsidRPr="004C6EC1">
        <w:rPr>
          <w:rFonts w:cstheme="minorHAnsi"/>
          <w:sz w:val="20"/>
        </w:rPr>
        <w:t>Effects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Treatment</w:t>
      </w:r>
      <w:proofErr w:type="spellEnd"/>
      <w:r w:rsidRPr="004C6EC1">
        <w:rPr>
          <w:rFonts w:cstheme="minorHAnsi"/>
          <w:sz w:val="20"/>
        </w:rPr>
        <w:t xml:space="preserve"> on Fertility and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Outcomes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: A 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 xml:space="preserve"> and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Randomized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Controlled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Trials</w:t>
      </w:r>
      <w:proofErr w:type="spellEnd"/>
      <w:r w:rsidRPr="004C6EC1">
        <w:rPr>
          <w:rFonts w:cstheme="minorHAnsi"/>
          <w:sz w:val="20"/>
        </w:rPr>
        <w:t xml:space="preserve">. </w:t>
      </w:r>
      <w:proofErr w:type="spellStart"/>
      <w:r w:rsidRPr="004C6EC1">
        <w:rPr>
          <w:rFonts w:cstheme="minorHAnsi"/>
          <w:sz w:val="20"/>
        </w:rPr>
        <w:t>Thyroid</w:t>
      </w:r>
      <w:proofErr w:type="spellEnd"/>
      <w:r w:rsidRPr="004C6EC1">
        <w:rPr>
          <w:rFonts w:cstheme="minorHAnsi"/>
          <w:sz w:val="20"/>
        </w:rPr>
        <w:t xml:space="preserve">. 2024 Apr;34(4):519-530. </w:t>
      </w:r>
    </w:p>
    <w:p w14:paraId="1EA5EBB8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Sieiro</w:t>
      </w:r>
      <w:proofErr w:type="spellEnd"/>
      <w:r w:rsidRPr="004C6EC1">
        <w:rPr>
          <w:rFonts w:cstheme="minorHAnsi"/>
          <w:sz w:val="20"/>
        </w:rPr>
        <w:t xml:space="preserve"> Netto L, Medina </w:t>
      </w:r>
      <w:proofErr w:type="spellStart"/>
      <w:r w:rsidRPr="004C6EC1">
        <w:rPr>
          <w:rFonts w:cstheme="minorHAnsi"/>
          <w:sz w:val="20"/>
        </w:rPr>
        <w:t>Coeli</w:t>
      </w:r>
      <w:proofErr w:type="spellEnd"/>
      <w:r w:rsidRPr="004C6EC1">
        <w:rPr>
          <w:rFonts w:cstheme="minorHAnsi"/>
          <w:sz w:val="20"/>
        </w:rPr>
        <w:t xml:space="preserve"> C, </w:t>
      </w:r>
      <w:proofErr w:type="spellStart"/>
      <w:r w:rsidRPr="004C6EC1">
        <w:rPr>
          <w:rFonts w:cstheme="minorHAnsi"/>
          <w:sz w:val="20"/>
        </w:rPr>
        <w:t>Micmacher</w:t>
      </w:r>
      <w:proofErr w:type="spellEnd"/>
      <w:r w:rsidRPr="004C6EC1">
        <w:rPr>
          <w:rFonts w:cstheme="minorHAnsi"/>
          <w:sz w:val="20"/>
        </w:rPr>
        <w:t xml:space="preserve"> E, </w:t>
      </w:r>
      <w:proofErr w:type="spellStart"/>
      <w:r w:rsidRPr="004C6EC1">
        <w:rPr>
          <w:rFonts w:cstheme="minorHAnsi"/>
          <w:sz w:val="20"/>
        </w:rPr>
        <w:t>Mamede</w:t>
      </w:r>
      <w:proofErr w:type="spellEnd"/>
      <w:r w:rsidRPr="004C6EC1">
        <w:rPr>
          <w:rFonts w:cstheme="minorHAnsi"/>
          <w:sz w:val="20"/>
        </w:rPr>
        <w:t xml:space="preserve"> Da </w:t>
      </w:r>
      <w:proofErr w:type="spellStart"/>
      <w:r w:rsidRPr="004C6EC1">
        <w:rPr>
          <w:rFonts w:cstheme="minorHAnsi"/>
          <w:sz w:val="20"/>
        </w:rPr>
        <w:t>Costa</w:t>
      </w:r>
      <w:proofErr w:type="spellEnd"/>
      <w:r w:rsidRPr="004C6EC1">
        <w:rPr>
          <w:rFonts w:cstheme="minorHAnsi"/>
          <w:sz w:val="20"/>
        </w:rPr>
        <w:t xml:space="preserve"> S, Nazar L, </w:t>
      </w:r>
      <w:proofErr w:type="spellStart"/>
      <w:r w:rsidRPr="004C6EC1">
        <w:rPr>
          <w:rFonts w:cstheme="minorHAnsi"/>
          <w:sz w:val="20"/>
        </w:rPr>
        <w:t>Galvão</w:t>
      </w:r>
      <w:proofErr w:type="spellEnd"/>
      <w:r w:rsidRPr="004C6EC1">
        <w:rPr>
          <w:rFonts w:cstheme="minorHAnsi"/>
          <w:sz w:val="20"/>
        </w:rPr>
        <w:t xml:space="preserve"> D, </w:t>
      </w:r>
      <w:proofErr w:type="spellStart"/>
      <w:r w:rsidRPr="004C6EC1">
        <w:rPr>
          <w:rFonts w:cstheme="minorHAnsi"/>
          <w:sz w:val="20"/>
        </w:rPr>
        <w:t>Buescu</w:t>
      </w:r>
      <w:proofErr w:type="spellEnd"/>
      <w:r w:rsidRPr="004C6EC1">
        <w:rPr>
          <w:rFonts w:cstheme="minorHAnsi"/>
          <w:sz w:val="20"/>
        </w:rPr>
        <w:t xml:space="preserve"> A, </w:t>
      </w:r>
      <w:proofErr w:type="spellStart"/>
      <w:r w:rsidRPr="004C6EC1">
        <w:rPr>
          <w:rFonts w:cstheme="minorHAnsi"/>
          <w:sz w:val="20"/>
        </w:rPr>
        <w:t>Vaisman</w:t>
      </w:r>
      <w:proofErr w:type="spellEnd"/>
      <w:r w:rsidRPr="004C6EC1">
        <w:rPr>
          <w:rFonts w:cstheme="minorHAnsi"/>
          <w:sz w:val="20"/>
        </w:rPr>
        <w:t xml:space="preserve"> M. Influence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thyroid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autoimmunity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maternal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age</w:t>
      </w:r>
      <w:proofErr w:type="spellEnd"/>
      <w:r w:rsidRPr="004C6EC1">
        <w:rPr>
          <w:rFonts w:cstheme="minorHAnsi"/>
          <w:sz w:val="20"/>
        </w:rPr>
        <w:t xml:space="preserve"> on </w:t>
      </w:r>
      <w:proofErr w:type="spellStart"/>
      <w:r w:rsidRPr="004C6EC1">
        <w:rPr>
          <w:rFonts w:cstheme="minorHAnsi"/>
          <w:sz w:val="20"/>
        </w:rPr>
        <w:t>the</w:t>
      </w:r>
      <w:proofErr w:type="spellEnd"/>
      <w:r w:rsidRPr="004C6EC1">
        <w:rPr>
          <w:rFonts w:cstheme="minorHAnsi"/>
          <w:sz w:val="20"/>
        </w:rPr>
        <w:t xml:space="preserve"> risk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miscarriage</w:t>
      </w:r>
      <w:proofErr w:type="spellEnd"/>
      <w:r w:rsidRPr="004C6EC1">
        <w:rPr>
          <w:rFonts w:cstheme="minorHAnsi"/>
          <w:sz w:val="20"/>
        </w:rPr>
        <w:t xml:space="preserve">. </w:t>
      </w:r>
      <w:proofErr w:type="spellStart"/>
      <w:r w:rsidRPr="004C6EC1">
        <w:rPr>
          <w:rFonts w:cstheme="minorHAnsi"/>
          <w:sz w:val="20"/>
        </w:rPr>
        <w:t>Am</w:t>
      </w:r>
      <w:proofErr w:type="spellEnd"/>
      <w:r w:rsidRPr="004C6EC1">
        <w:rPr>
          <w:rFonts w:cstheme="minorHAnsi"/>
          <w:sz w:val="20"/>
        </w:rPr>
        <w:t xml:space="preserve"> J </w:t>
      </w:r>
      <w:proofErr w:type="spellStart"/>
      <w:r w:rsidRPr="004C6EC1">
        <w:rPr>
          <w:rFonts w:cstheme="minorHAnsi"/>
          <w:sz w:val="20"/>
        </w:rPr>
        <w:t>Reprod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Immunol</w:t>
      </w:r>
      <w:proofErr w:type="spellEnd"/>
      <w:r w:rsidRPr="004C6EC1">
        <w:rPr>
          <w:rFonts w:cstheme="minorHAnsi"/>
          <w:sz w:val="20"/>
        </w:rPr>
        <w:t xml:space="preserve">. 2004 Nov;52(5):312-6. </w:t>
      </w:r>
    </w:p>
    <w:p w14:paraId="5E50C2EA" w14:textId="77777777" w:rsidR="007E36E9" w:rsidRPr="00ED648B" w:rsidRDefault="007E36E9" w:rsidP="007E36E9">
      <w:pPr>
        <w:rPr>
          <w:rFonts w:cstheme="minorHAnsi"/>
          <w:sz w:val="20"/>
        </w:rPr>
      </w:pPr>
      <w:r w:rsidRPr="00ED648B">
        <w:rPr>
          <w:rFonts w:cstheme="minorHAnsi"/>
          <w:sz w:val="20"/>
        </w:rPr>
        <w:t xml:space="preserve">Smith LH, </w:t>
      </w:r>
      <w:proofErr w:type="spellStart"/>
      <w:r w:rsidRPr="00ED648B">
        <w:rPr>
          <w:rFonts w:cstheme="minorHAnsi"/>
          <w:sz w:val="20"/>
        </w:rPr>
        <w:t>Danielsen</w:t>
      </w:r>
      <w:proofErr w:type="spellEnd"/>
      <w:r w:rsidRPr="00ED648B">
        <w:rPr>
          <w:rFonts w:cstheme="minorHAnsi"/>
          <w:sz w:val="20"/>
        </w:rPr>
        <w:t xml:space="preserve"> B, Allen ME, </w:t>
      </w:r>
      <w:proofErr w:type="spellStart"/>
      <w:r w:rsidRPr="00ED648B">
        <w:rPr>
          <w:rFonts w:cstheme="minorHAnsi"/>
          <w:sz w:val="20"/>
        </w:rPr>
        <w:t>Cress</w:t>
      </w:r>
      <w:proofErr w:type="spellEnd"/>
      <w:r w:rsidRPr="00ED648B">
        <w:rPr>
          <w:rFonts w:cstheme="minorHAnsi"/>
          <w:sz w:val="20"/>
        </w:rPr>
        <w:t xml:space="preserve"> R. </w:t>
      </w:r>
      <w:proofErr w:type="spellStart"/>
      <w:r w:rsidRPr="00ED648B">
        <w:rPr>
          <w:rFonts w:cstheme="minorHAnsi"/>
          <w:sz w:val="20"/>
        </w:rPr>
        <w:t>Cancer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associated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with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obstetric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delivery</w:t>
      </w:r>
      <w:proofErr w:type="spellEnd"/>
      <w:r w:rsidRPr="00ED648B">
        <w:rPr>
          <w:rFonts w:cstheme="minorHAnsi"/>
          <w:sz w:val="20"/>
        </w:rPr>
        <w:t xml:space="preserve">: </w:t>
      </w:r>
      <w:proofErr w:type="spellStart"/>
      <w:r w:rsidRPr="00ED648B">
        <w:rPr>
          <w:rFonts w:cstheme="minorHAnsi"/>
          <w:sz w:val="20"/>
        </w:rPr>
        <w:t>results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linkage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with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California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cancer</w:t>
      </w:r>
      <w:proofErr w:type="spellEnd"/>
      <w:r w:rsidRPr="00ED648B">
        <w:rPr>
          <w:rFonts w:cstheme="minorHAnsi"/>
          <w:sz w:val="20"/>
        </w:rPr>
        <w:t xml:space="preserve"> registry. </w:t>
      </w:r>
      <w:proofErr w:type="spellStart"/>
      <w:r w:rsidRPr="00ED648B">
        <w:rPr>
          <w:rFonts w:cstheme="minorHAnsi"/>
          <w:sz w:val="20"/>
        </w:rPr>
        <w:t>Am</w:t>
      </w:r>
      <w:proofErr w:type="spellEnd"/>
      <w:r w:rsidRPr="00ED648B">
        <w:rPr>
          <w:rFonts w:cstheme="minorHAnsi"/>
          <w:sz w:val="20"/>
        </w:rPr>
        <w:t xml:space="preserve"> J </w:t>
      </w:r>
      <w:proofErr w:type="spellStart"/>
      <w:r w:rsidRPr="00ED648B">
        <w:rPr>
          <w:rFonts w:cstheme="minorHAnsi"/>
          <w:sz w:val="20"/>
        </w:rPr>
        <w:t>Obstet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Gynecol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gramStart"/>
      <w:r w:rsidRPr="00ED648B">
        <w:rPr>
          <w:rFonts w:cstheme="minorHAnsi"/>
          <w:sz w:val="20"/>
        </w:rPr>
        <w:t>2003;198:1128</w:t>
      </w:r>
      <w:proofErr w:type="gramEnd"/>
      <w:r w:rsidRPr="00ED648B">
        <w:rPr>
          <w:rFonts w:cstheme="minorHAnsi"/>
          <w:sz w:val="20"/>
        </w:rPr>
        <w:t>–35.</w:t>
      </w:r>
    </w:p>
    <w:p w14:paraId="5B527960" w14:textId="77777777" w:rsidR="007E36E9" w:rsidRPr="00ED648B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Stagnaro</w:t>
      </w:r>
      <w:proofErr w:type="spellEnd"/>
      <w:r w:rsidRPr="00ED648B">
        <w:rPr>
          <w:rFonts w:cstheme="minorHAnsi"/>
          <w:sz w:val="20"/>
        </w:rPr>
        <w:t xml:space="preserve">-Green A, </w:t>
      </w:r>
      <w:proofErr w:type="spellStart"/>
      <w:r w:rsidRPr="00ED648B">
        <w:rPr>
          <w:rFonts w:cstheme="minorHAnsi"/>
          <w:sz w:val="20"/>
        </w:rPr>
        <w:t>Abalovich</w:t>
      </w:r>
      <w:proofErr w:type="spellEnd"/>
      <w:r w:rsidRPr="00ED648B">
        <w:rPr>
          <w:rFonts w:cstheme="minorHAnsi"/>
          <w:sz w:val="20"/>
        </w:rPr>
        <w:t xml:space="preserve"> M, Alexander E et al.; </w:t>
      </w:r>
      <w:proofErr w:type="spellStart"/>
      <w:r w:rsidRPr="00ED648B">
        <w:rPr>
          <w:rFonts w:cstheme="minorHAnsi"/>
          <w:sz w:val="20"/>
        </w:rPr>
        <w:t>American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Association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Taskforce</w:t>
      </w:r>
      <w:proofErr w:type="spellEnd"/>
      <w:r w:rsidRPr="00ED648B">
        <w:rPr>
          <w:rFonts w:cstheme="minorHAnsi"/>
          <w:sz w:val="20"/>
        </w:rPr>
        <w:t xml:space="preserve"> on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Disease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During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Postpartum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spellStart"/>
      <w:r w:rsidRPr="00ED648B">
        <w:rPr>
          <w:rFonts w:cstheme="minorHAnsi"/>
          <w:sz w:val="20"/>
        </w:rPr>
        <w:t>Guidelines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American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Association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for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diagnosis</w:t>
      </w:r>
      <w:proofErr w:type="spellEnd"/>
      <w:r w:rsidRPr="00ED648B">
        <w:rPr>
          <w:rFonts w:cstheme="minorHAnsi"/>
          <w:sz w:val="20"/>
        </w:rPr>
        <w:t xml:space="preserve"> and management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disease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during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 and </w:t>
      </w:r>
      <w:proofErr w:type="spellStart"/>
      <w:r w:rsidRPr="00ED648B">
        <w:rPr>
          <w:rFonts w:cstheme="minorHAnsi"/>
          <w:sz w:val="20"/>
        </w:rPr>
        <w:t>postpartum</w:t>
      </w:r>
      <w:proofErr w:type="spellEnd"/>
      <w:r w:rsidRPr="00ED648B">
        <w:rPr>
          <w:rFonts w:cstheme="minorHAnsi"/>
          <w:sz w:val="20"/>
        </w:rPr>
        <w:t xml:space="preserve">.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>. 2011;21(10):1081–125.</w:t>
      </w:r>
    </w:p>
    <w:p w14:paraId="06074713" w14:textId="77777777" w:rsidR="007E36E9" w:rsidRDefault="007E36E9" w:rsidP="007E36E9">
      <w:pPr>
        <w:rPr>
          <w:rFonts w:cstheme="minorHAnsi"/>
          <w:sz w:val="20"/>
        </w:rPr>
      </w:pPr>
      <w:proofErr w:type="spellStart"/>
      <w:r w:rsidRPr="00ED648B">
        <w:rPr>
          <w:rFonts w:cstheme="minorHAnsi"/>
          <w:sz w:val="20"/>
        </w:rPr>
        <w:t>Tan</w:t>
      </w:r>
      <w:proofErr w:type="spellEnd"/>
      <w:r w:rsidRPr="00ED648B">
        <w:rPr>
          <w:rFonts w:cstheme="minorHAnsi"/>
          <w:sz w:val="20"/>
        </w:rPr>
        <w:t xml:space="preserve"> GH, </w:t>
      </w:r>
      <w:proofErr w:type="spellStart"/>
      <w:r w:rsidRPr="00ED648B">
        <w:rPr>
          <w:rFonts w:cstheme="minorHAnsi"/>
          <w:sz w:val="20"/>
        </w:rPr>
        <w:t>Gharib</w:t>
      </w:r>
      <w:proofErr w:type="spellEnd"/>
      <w:r w:rsidRPr="00ED648B">
        <w:rPr>
          <w:rFonts w:cstheme="minorHAnsi"/>
          <w:sz w:val="20"/>
        </w:rPr>
        <w:t xml:space="preserve"> H, </w:t>
      </w:r>
      <w:proofErr w:type="spellStart"/>
      <w:r w:rsidRPr="00ED648B">
        <w:rPr>
          <w:rFonts w:cstheme="minorHAnsi"/>
          <w:sz w:val="20"/>
        </w:rPr>
        <w:t>Goellner</w:t>
      </w:r>
      <w:proofErr w:type="spellEnd"/>
      <w:r w:rsidRPr="00ED648B">
        <w:rPr>
          <w:rFonts w:cstheme="minorHAnsi"/>
          <w:sz w:val="20"/>
        </w:rPr>
        <w:t xml:space="preserve"> JR et al. Management </w:t>
      </w:r>
      <w:proofErr w:type="spellStart"/>
      <w:r w:rsidRPr="00ED648B">
        <w:rPr>
          <w:rFonts w:cstheme="minorHAnsi"/>
          <w:sz w:val="20"/>
        </w:rPr>
        <w:t>of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thyroid</w:t>
      </w:r>
      <w:proofErr w:type="spellEnd"/>
      <w:r w:rsidRPr="00ED648B">
        <w:rPr>
          <w:rFonts w:cstheme="minorHAnsi"/>
          <w:sz w:val="20"/>
        </w:rPr>
        <w:t xml:space="preserve"> </w:t>
      </w:r>
      <w:proofErr w:type="spellStart"/>
      <w:r w:rsidRPr="00ED648B">
        <w:rPr>
          <w:rFonts w:cstheme="minorHAnsi"/>
          <w:sz w:val="20"/>
        </w:rPr>
        <w:t>nodules</w:t>
      </w:r>
      <w:proofErr w:type="spellEnd"/>
      <w:r w:rsidRPr="00ED648B">
        <w:rPr>
          <w:rFonts w:cstheme="minorHAnsi"/>
          <w:sz w:val="20"/>
        </w:rPr>
        <w:t xml:space="preserve"> in </w:t>
      </w:r>
      <w:proofErr w:type="spellStart"/>
      <w:r w:rsidRPr="00ED648B">
        <w:rPr>
          <w:rFonts w:cstheme="minorHAnsi"/>
          <w:sz w:val="20"/>
        </w:rPr>
        <w:t>pregnancy</w:t>
      </w:r>
      <w:proofErr w:type="spellEnd"/>
      <w:r w:rsidRPr="00ED648B">
        <w:rPr>
          <w:rFonts w:cstheme="minorHAnsi"/>
          <w:sz w:val="20"/>
        </w:rPr>
        <w:t xml:space="preserve">. Arch </w:t>
      </w:r>
      <w:proofErr w:type="spellStart"/>
      <w:r w:rsidRPr="00ED648B">
        <w:rPr>
          <w:rFonts w:cstheme="minorHAnsi"/>
          <w:sz w:val="20"/>
        </w:rPr>
        <w:t>Intern</w:t>
      </w:r>
      <w:proofErr w:type="spellEnd"/>
      <w:r w:rsidRPr="00ED648B">
        <w:rPr>
          <w:rFonts w:cstheme="minorHAnsi"/>
          <w:sz w:val="20"/>
        </w:rPr>
        <w:t xml:space="preserve"> Med. </w:t>
      </w:r>
      <w:proofErr w:type="gramStart"/>
      <w:r w:rsidRPr="00ED648B">
        <w:rPr>
          <w:rFonts w:cstheme="minorHAnsi"/>
          <w:sz w:val="20"/>
        </w:rPr>
        <w:t>1996;156:122</w:t>
      </w:r>
      <w:proofErr w:type="gramEnd"/>
      <w:r w:rsidRPr="00ED648B">
        <w:rPr>
          <w:rFonts w:cstheme="minorHAnsi"/>
          <w:sz w:val="20"/>
        </w:rPr>
        <w:t>–5.</w:t>
      </w:r>
    </w:p>
    <w:p w14:paraId="603E464B" w14:textId="77777777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Wang</w:t>
      </w:r>
      <w:proofErr w:type="spellEnd"/>
      <w:r w:rsidRPr="004C6EC1">
        <w:rPr>
          <w:rFonts w:cstheme="minorHAnsi"/>
          <w:sz w:val="20"/>
        </w:rPr>
        <w:t xml:space="preserve"> S, </w:t>
      </w:r>
      <w:proofErr w:type="spellStart"/>
      <w:r w:rsidRPr="004C6EC1">
        <w:rPr>
          <w:rFonts w:cstheme="minorHAnsi"/>
          <w:sz w:val="20"/>
        </w:rPr>
        <w:t>Teng</w:t>
      </w:r>
      <w:proofErr w:type="spellEnd"/>
      <w:r w:rsidRPr="004C6EC1">
        <w:rPr>
          <w:rFonts w:cstheme="minorHAnsi"/>
          <w:sz w:val="20"/>
        </w:rPr>
        <w:t xml:space="preserve"> WP, </w:t>
      </w:r>
      <w:proofErr w:type="spellStart"/>
      <w:r w:rsidRPr="004C6EC1">
        <w:rPr>
          <w:rFonts w:cstheme="minorHAnsi"/>
          <w:sz w:val="20"/>
        </w:rPr>
        <w:t>Li</w:t>
      </w:r>
      <w:proofErr w:type="spellEnd"/>
      <w:r w:rsidRPr="004C6EC1">
        <w:rPr>
          <w:rFonts w:cstheme="minorHAnsi"/>
          <w:sz w:val="20"/>
        </w:rPr>
        <w:t xml:space="preserve"> JX, </w:t>
      </w:r>
      <w:proofErr w:type="spellStart"/>
      <w:r w:rsidRPr="004C6EC1">
        <w:rPr>
          <w:rFonts w:cstheme="minorHAnsi"/>
          <w:sz w:val="20"/>
        </w:rPr>
        <w:t>Wang</w:t>
      </w:r>
      <w:proofErr w:type="spellEnd"/>
      <w:r w:rsidRPr="004C6EC1">
        <w:rPr>
          <w:rFonts w:cstheme="minorHAnsi"/>
          <w:sz w:val="20"/>
        </w:rPr>
        <w:t xml:space="preserve"> WW, </w:t>
      </w:r>
      <w:proofErr w:type="spellStart"/>
      <w:r w:rsidRPr="004C6EC1">
        <w:rPr>
          <w:rFonts w:cstheme="minorHAnsi"/>
          <w:sz w:val="20"/>
        </w:rPr>
        <w:t>Shan</w:t>
      </w:r>
      <w:proofErr w:type="spellEnd"/>
      <w:r w:rsidRPr="004C6EC1">
        <w:rPr>
          <w:rFonts w:cstheme="minorHAnsi"/>
          <w:sz w:val="20"/>
        </w:rPr>
        <w:t xml:space="preserve"> ZY. </w:t>
      </w:r>
      <w:proofErr w:type="spellStart"/>
      <w:r w:rsidRPr="004C6EC1">
        <w:rPr>
          <w:rFonts w:cstheme="minorHAnsi"/>
          <w:sz w:val="20"/>
        </w:rPr>
        <w:t>Effects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maternal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 on </w:t>
      </w:r>
      <w:proofErr w:type="spellStart"/>
      <w:r w:rsidRPr="004C6EC1">
        <w:rPr>
          <w:rFonts w:cstheme="minorHAnsi"/>
          <w:sz w:val="20"/>
        </w:rPr>
        <w:t>obstetrical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outcomes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during</w:t>
      </w:r>
      <w:proofErr w:type="spellEnd"/>
      <w:r w:rsidRPr="004C6EC1">
        <w:rPr>
          <w:rFonts w:cstheme="minorHAnsi"/>
          <w:sz w:val="20"/>
        </w:rPr>
        <w:t xml:space="preserve"> early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 xml:space="preserve">. J </w:t>
      </w:r>
      <w:proofErr w:type="spellStart"/>
      <w:r w:rsidRPr="004C6EC1">
        <w:rPr>
          <w:rFonts w:cstheme="minorHAnsi"/>
          <w:sz w:val="20"/>
        </w:rPr>
        <w:t>Endocrinol</w:t>
      </w:r>
      <w:proofErr w:type="spellEnd"/>
      <w:r w:rsidRPr="004C6EC1">
        <w:rPr>
          <w:rFonts w:cstheme="minorHAnsi"/>
          <w:sz w:val="20"/>
        </w:rPr>
        <w:t xml:space="preserve"> Invest. 2012 Mar;35(3):322-5. </w:t>
      </w:r>
    </w:p>
    <w:p w14:paraId="501B9365" w14:textId="6F8375C0" w:rsidR="007E36E9" w:rsidRPr="004C6EC1" w:rsidRDefault="007E36E9" w:rsidP="007E36E9">
      <w:pPr>
        <w:rPr>
          <w:rFonts w:cstheme="minorHAnsi"/>
          <w:sz w:val="20"/>
        </w:rPr>
      </w:pPr>
      <w:proofErr w:type="spellStart"/>
      <w:r w:rsidRPr="004C6EC1">
        <w:rPr>
          <w:rFonts w:cstheme="minorHAnsi"/>
          <w:sz w:val="20"/>
        </w:rPr>
        <w:t>Yamamoto</w:t>
      </w:r>
      <w:proofErr w:type="spellEnd"/>
      <w:r w:rsidRPr="004C6EC1">
        <w:rPr>
          <w:rFonts w:cstheme="minorHAnsi"/>
          <w:sz w:val="20"/>
        </w:rPr>
        <w:t xml:space="preserve"> JM, </w:t>
      </w:r>
      <w:proofErr w:type="spellStart"/>
      <w:r w:rsidRPr="004C6EC1">
        <w:rPr>
          <w:rFonts w:cstheme="minorHAnsi"/>
          <w:sz w:val="20"/>
        </w:rPr>
        <w:t>Benham</w:t>
      </w:r>
      <w:proofErr w:type="spellEnd"/>
      <w:r w:rsidRPr="004C6EC1">
        <w:rPr>
          <w:rFonts w:cstheme="minorHAnsi"/>
          <w:sz w:val="20"/>
        </w:rPr>
        <w:t xml:space="preserve"> JL, </w:t>
      </w:r>
      <w:proofErr w:type="spellStart"/>
      <w:r w:rsidRPr="004C6EC1">
        <w:rPr>
          <w:rFonts w:cstheme="minorHAnsi"/>
          <w:sz w:val="20"/>
        </w:rPr>
        <w:t>Nerenberg</w:t>
      </w:r>
      <w:proofErr w:type="spellEnd"/>
      <w:r w:rsidRPr="004C6EC1">
        <w:rPr>
          <w:rFonts w:cstheme="minorHAnsi"/>
          <w:sz w:val="20"/>
        </w:rPr>
        <w:t xml:space="preserve"> KA, </w:t>
      </w:r>
      <w:proofErr w:type="spellStart"/>
      <w:r w:rsidRPr="004C6EC1">
        <w:rPr>
          <w:rFonts w:cstheme="minorHAnsi"/>
          <w:sz w:val="20"/>
        </w:rPr>
        <w:t>Donovan</w:t>
      </w:r>
      <w:proofErr w:type="spellEnd"/>
      <w:r w:rsidRPr="004C6EC1">
        <w:rPr>
          <w:rFonts w:cstheme="minorHAnsi"/>
          <w:sz w:val="20"/>
        </w:rPr>
        <w:t xml:space="preserve"> LE. </w:t>
      </w:r>
      <w:proofErr w:type="spellStart"/>
      <w:r w:rsidRPr="004C6EC1">
        <w:rPr>
          <w:rFonts w:cstheme="minorHAnsi"/>
          <w:sz w:val="20"/>
        </w:rPr>
        <w:t>Impact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levothyroxine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therapy</w:t>
      </w:r>
      <w:proofErr w:type="spellEnd"/>
      <w:r w:rsidRPr="004C6EC1">
        <w:rPr>
          <w:rFonts w:cstheme="minorHAnsi"/>
          <w:sz w:val="20"/>
        </w:rPr>
        <w:t xml:space="preserve"> on </w:t>
      </w:r>
      <w:proofErr w:type="spellStart"/>
      <w:r w:rsidRPr="004C6EC1">
        <w:rPr>
          <w:rFonts w:cstheme="minorHAnsi"/>
          <w:sz w:val="20"/>
        </w:rPr>
        <w:t>obstetric</w:t>
      </w:r>
      <w:proofErr w:type="spellEnd"/>
      <w:r w:rsidRPr="004C6EC1">
        <w:rPr>
          <w:rFonts w:cstheme="minorHAnsi"/>
          <w:sz w:val="20"/>
        </w:rPr>
        <w:t xml:space="preserve">, </w:t>
      </w:r>
      <w:proofErr w:type="spellStart"/>
      <w:r w:rsidRPr="004C6EC1">
        <w:rPr>
          <w:rFonts w:cstheme="minorHAnsi"/>
          <w:sz w:val="20"/>
        </w:rPr>
        <w:t>neonatal</w:t>
      </w:r>
      <w:proofErr w:type="spellEnd"/>
      <w:r w:rsidRPr="004C6EC1">
        <w:rPr>
          <w:rFonts w:cstheme="minorHAnsi"/>
          <w:sz w:val="20"/>
        </w:rPr>
        <w:t xml:space="preserve"> and </w:t>
      </w:r>
      <w:proofErr w:type="spellStart"/>
      <w:r w:rsidRPr="004C6EC1">
        <w:rPr>
          <w:rFonts w:cstheme="minorHAnsi"/>
          <w:sz w:val="20"/>
        </w:rPr>
        <w:t>childhood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outcomes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women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with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subclinical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hypothyroidism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diagnosed</w:t>
      </w:r>
      <w:proofErr w:type="spellEnd"/>
      <w:r w:rsidRPr="004C6EC1">
        <w:rPr>
          <w:rFonts w:cstheme="minorHAnsi"/>
          <w:sz w:val="20"/>
        </w:rPr>
        <w:t xml:space="preserve"> in </w:t>
      </w:r>
      <w:proofErr w:type="spellStart"/>
      <w:r w:rsidRPr="004C6EC1">
        <w:rPr>
          <w:rFonts w:cstheme="minorHAnsi"/>
          <w:sz w:val="20"/>
        </w:rPr>
        <w:t>pregnancy</w:t>
      </w:r>
      <w:proofErr w:type="spellEnd"/>
      <w:r w:rsidRPr="004C6EC1">
        <w:rPr>
          <w:rFonts w:cstheme="minorHAnsi"/>
          <w:sz w:val="20"/>
        </w:rPr>
        <w:t>: a</w:t>
      </w:r>
      <w:r w:rsidR="00B8472C">
        <w:rPr>
          <w:rFonts w:cstheme="minorHAnsi"/>
          <w:sz w:val="20"/>
        </w:rPr>
        <w:t> </w:t>
      </w:r>
      <w:proofErr w:type="spellStart"/>
      <w:r w:rsidRPr="004C6EC1">
        <w:rPr>
          <w:rFonts w:cstheme="minorHAnsi"/>
          <w:sz w:val="20"/>
        </w:rPr>
        <w:t>systematic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review</w:t>
      </w:r>
      <w:proofErr w:type="spellEnd"/>
      <w:r w:rsidRPr="004C6EC1">
        <w:rPr>
          <w:rFonts w:cstheme="minorHAnsi"/>
          <w:sz w:val="20"/>
        </w:rPr>
        <w:t xml:space="preserve"> and meta-</w:t>
      </w:r>
      <w:proofErr w:type="spellStart"/>
      <w:r w:rsidRPr="004C6EC1">
        <w:rPr>
          <w:rFonts w:cstheme="minorHAnsi"/>
          <w:sz w:val="20"/>
        </w:rPr>
        <w:t>analysis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of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randomised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controlled</w:t>
      </w:r>
      <w:proofErr w:type="spellEnd"/>
      <w:r w:rsidRPr="004C6EC1">
        <w:rPr>
          <w:rFonts w:cstheme="minorHAnsi"/>
          <w:sz w:val="20"/>
        </w:rPr>
        <w:t xml:space="preserve"> </w:t>
      </w:r>
      <w:proofErr w:type="spellStart"/>
      <w:r w:rsidRPr="004C6EC1">
        <w:rPr>
          <w:rFonts w:cstheme="minorHAnsi"/>
          <w:sz w:val="20"/>
        </w:rPr>
        <w:t>trials</w:t>
      </w:r>
      <w:proofErr w:type="spellEnd"/>
      <w:r w:rsidRPr="004C6EC1">
        <w:rPr>
          <w:rFonts w:cstheme="minorHAnsi"/>
          <w:sz w:val="20"/>
        </w:rPr>
        <w:t xml:space="preserve">. BMJ Open. 2018 </w:t>
      </w:r>
      <w:proofErr w:type="spellStart"/>
      <w:r w:rsidRPr="004C6EC1">
        <w:rPr>
          <w:rFonts w:cstheme="minorHAnsi"/>
          <w:sz w:val="20"/>
        </w:rPr>
        <w:t>Sep</w:t>
      </w:r>
      <w:proofErr w:type="spellEnd"/>
      <w:r w:rsidRPr="004C6EC1">
        <w:rPr>
          <w:rFonts w:cstheme="minorHAnsi"/>
          <w:sz w:val="20"/>
        </w:rPr>
        <w:t xml:space="preserve"> 8;8(9</w:t>
      </w:r>
      <w:proofErr w:type="gramStart"/>
      <w:r w:rsidRPr="004C6EC1">
        <w:rPr>
          <w:rFonts w:cstheme="minorHAnsi"/>
          <w:sz w:val="20"/>
        </w:rPr>
        <w:t>):e</w:t>
      </w:r>
      <w:proofErr w:type="gramEnd"/>
      <w:r w:rsidRPr="004C6EC1">
        <w:rPr>
          <w:rFonts w:cstheme="minorHAnsi"/>
          <w:sz w:val="20"/>
        </w:rPr>
        <w:t xml:space="preserve">022837. </w:t>
      </w:r>
    </w:p>
    <w:sectPr w:rsidR="007E36E9" w:rsidRPr="004C6EC1" w:rsidSect="00962CEB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BBF6" w14:textId="77777777" w:rsidR="004A589E" w:rsidRDefault="004A589E" w:rsidP="004E4F3D">
      <w:pPr>
        <w:spacing w:after="0"/>
      </w:pPr>
      <w:r>
        <w:separator/>
      </w:r>
    </w:p>
  </w:endnote>
  <w:endnote w:type="continuationSeparator" w:id="0">
    <w:p w14:paraId="531EB29B" w14:textId="77777777" w:rsidR="004A589E" w:rsidRDefault="004A589E" w:rsidP="004E4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5C9A" w14:textId="77777777" w:rsidR="00B25E40" w:rsidRDefault="00B25E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41"/>
      <w:gridCol w:w="2886"/>
      <w:gridCol w:w="1644"/>
    </w:tblGrid>
    <w:tr w:rsidR="005C4C68" w14:paraId="545F52C4" w14:textId="77777777" w:rsidTr="002A722D">
      <w:trPr>
        <w:trHeight w:val="567"/>
      </w:trPr>
      <w:tc>
        <w:tcPr>
          <w:tcW w:w="4541" w:type="dxa"/>
          <w:vAlign w:val="bottom"/>
        </w:tcPr>
        <w:p w14:paraId="242C499B" w14:textId="77777777" w:rsidR="005C4C68" w:rsidRDefault="005C4C68" w:rsidP="002A722D">
          <w:pPr>
            <w:pStyle w:val="Zhlav-zpat"/>
            <w:spacing w:before="0" w:after="0"/>
          </w:pPr>
          <w:r w:rsidRPr="00A602B4">
            <w:rPr>
              <w:rStyle w:val="Zhlav-zpatChar"/>
            </w:rPr>
            <w:t>Národní screeningové centrum</w:t>
          </w:r>
          <w:r w:rsidRPr="00A602B4">
            <w:rPr>
              <w:rStyle w:val="Zhlav-zpatChar"/>
            </w:rPr>
            <w:br/>
            <w:t>Ústav zdravotnických informací a statistiky ČR</w:t>
          </w:r>
          <w:r w:rsidRPr="00A602B4">
            <w:rPr>
              <w:rStyle w:val="Zhlav-zpatChar"/>
            </w:rPr>
            <w:br/>
            <w:t>Kounicova 688/26, P. O. Box 19, 611 00 Brno</w:t>
          </w:r>
          <w:r w:rsidRPr="00A602B4">
            <w:rPr>
              <w:rStyle w:val="Zhlav-zpatChar"/>
            </w:rPr>
            <w:br/>
            <w:t xml:space="preserve">E-mail: </w:t>
          </w:r>
          <w:r w:rsidRPr="00A602B4">
            <w:t>nsc@uzis.cz</w:t>
          </w:r>
          <w:r w:rsidRPr="00A602B4">
            <w:rPr>
              <w:rStyle w:val="Zhlav-zpatChar"/>
            </w:rPr>
            <w:t>; tel.: 778 529</w:t>
          </w:r>
          <w:r>
            <w:rPr>
              <w:rStyle w:val="Zhlav-zpatChar"/>
            </w:rPr>
            <w:t> </w:t>
          </w:r>
          <w:r w:rsidRPr="00A602B4">
            <w:rPr>
              <w:rStyle w:val="Zhlav-zpatChar"/>
            </w:rPr>
            <w:t>202</w:t>
          </w:r>
        </w:p>
      </w:tc>
      <w:tc>
        <w:tcPr>
          <w:tcW w:w="2886" w:type="dxa"/>
          <w:vAlign w:val="bottom"/>
        </w:tcPr>
        <w:p w14:paraId="52108D75" w14:textId="0B4D1CDD" w:rsidR="005C4C68" w:rsidRDefault="005C4C68" w:rsidP="002A722D">
          <w:pPr>
            <w:pStyle w:val="Zpat"/>
            <w:tabs>
              <w:tab w:val="clear" w:pos="9072"/>
              <w:tab w:val="left" w:pos="4536"/>
            </w:tabs>
            <w:spacing w:before="0"/>
            <w:jc w:val="right"/>
          </w:pPr>
          <w:r>
            <w:rPr>
              <w:noProof/>
            </w:rPr>
            <w:t xml:space="preserve">      </w:t>
          </w:r>
        </w:p>
      </w:tc>
      <w:tc>
        <w:tcPr>
          <w:tcW w:w="1644" w:type="dxa"/>
          <w:vAlign w:val="bottom"/>
        </w:tcPr>
        <w:p w14:paraId="600FACA6" w14:textId="6FAC6F5B" w:rsidR="005C4C68" w:rsidRDefault="005C4C68" w:rsidP="002A722D">
          <w:pPr>
            <w:pStyle w:val="Zpat"/>
            <w:tabs>
              <w:tab w:val="clear" w:pos="9072"/>
              <w:tab w:val="left" w:pos="4536"/>
            </w:tabs>
            <w:spacing w:before="0"/>
            <w:jc w:val="right"/>
          </w:pPr>
        </w:p>
      </w:tc>
    </w:tr>
  </w:tbl>
  <w:p w14:paraId="67F709B5" w14:textId="77777777" w:rsidR="005C4C68" w:rsidRDefault="005C4C68" w:rsidP="0087411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5F57" w14:textId="77777777" w:rsidR="00B25E40" w:rsidRDefault="00B25E4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431"/>
      <w:gridCol w:w="1270"/>
    </w:tblGrid>
    <w:tr w:rsidR="00CF7BBD" w14:paraId="1250A8BD" w14:textId="77777777" w:rsidTr="002107A5">
      <w:tc>
        <w:tcPr>
          <w:tcW w:w="7371" w:type="dxa"/>
        </w:tcPr>
        <w:p w14:paraId="1250A8BA" w14:textId="54D96A4D" w:rsidR="00CF7BBD" w:rsidRPr="002107A5" w:rsidRDefault="002107A5" w:rsidP="00CF7BBD">
          <w:pPr>
            <w:pStyle w:val="Zhlav-zpat"/>
          </w:pPr>
          <w:r w:rsidRPr="002107A5">
            <w:t>Metodika realizace vyšetření poruch štítné žlázy v těhotenství u rizikových žen</w:t>
          </w:r>
        </w:p>
      </w:tc>
      <w:tc>
        <w:tcPr>
          <w:tcW w:w="431" w:type="dxa"/>
        </w:tcPr>
        <w:p w14:paraId="1250A8BB" w14:textId="77777777" w:rsidR="00CF7BBD" w:rsidRDefault="00CF7BBD" w:rsidP="00ED0FBE">
          <w:pPr>
            <w:pStyle w:val="Zhlav-zpat"/>
          </w:pPr>
        </w:p>
      </w:tc>
      <w:tc>
        <w:tcPr>
          <w:tcW w:w="1270" w:type="dxa"/>
        </w:tcPr>
        <w:p w14:paraId="1250A8BC" w14:textId="6D875C09" w:rsidR="00CF7BBD" w:rsidRDefault="00962CEB" w:rsidP="00CF7BBD">
          <w:pPr>
            <w:pStyle w:val="Zhlav-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1250A8BE" w14:textId="77777777" w:rsidR="001C6EE3" w:rsidRPr="00492ADA" w:rsidRDefault="001C6EE3" w:rsidP="000E786E">
    <w:pPr>
      <w:pStyle w:val="Zpat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929" w14:textId="77777777" w:rsidR="004A589E" w:rsidRDefault="004A589E" w:rsidP="004E4F3D">
      <w:pPr>
        <w:spacing w:after="0"/>
      </w:pPr>
      <w:r>
        <w:separator/>
      </w:r>
    </w:p>
  </w:footnote>
  <w:footnote w:type="continuationSeparator" w:id="0">
    <w:p w14:paraId="3DD300FB" w14:textId="77777777" w:rsidR="004A589E" w:rsidRDefault="004A589E" w:rsidP="004E4F3D">
      <w:pPr>
        <w:spacing w:after="0"/>
      </w:pPr>
      <w:r>
        <w:continuationSeparator/>
      </w:r>
    </w:p>
  </w:footnote>
  <w:footnote w:id="1">
    <w:p w14:paraId="35C683D1" w14:textId="5F86D712" w:rsidR="00B8472C" w:rsidRDefault="00B8472C" w:rsidP="002107A5">
      <w:pPr>
        <w:pStyle w:val="Textpoznpodarou"/>
        <w:jc w:val="both"/>
        <w:rPr>
          <w:rFonts w:eastAsia="Calibri" w:cstheme="minorHAnsi"/>
          <w:lang w:eastAsia="cs-CZ"/>
        </w:rPr>
      </w:pPr>
      <w:r w:rsidRPr="002107A5">
        <w:rPr>
          <w:rStyle w:val="Znakapoznpodarou"/>
          <w:rFonts w:cstheme="minorHAnsi"/>
        </w:rPr>
        <w:footnoteRef/>
      </w:r>
      <w:r w:rsidRPr="002107A5">
        <w:rPr>
          <w:rFonts w:eastAsia="Calibri" w:cstheme="minorHAnsi"/>
          <w:lang w:eastAsia="cs-CZ"/>
        </w:rPr>
        <w:t>Není-li v laboratoři specifický referenční interval k dispozici, je za dolní limit pro těhotné ženy v</w:t>
      </w:r>
      <w:r w:rsidR="003A6952">
        <w:rPr>
          <w:rFonts w:eastAsia="Calibri" w:cstheme="minorHAnsi"/>
          <w:lang w:eastAsia="cs-CZ"/>
        </w:rPr>
        <w:t> I</w:t>
      </w:r>
      <w:r w:rsidRPr="002107A5">
        <w:rPr>
          <w:rFonts w:eastAsia="Calibri" w:cstheme="minorHAnsi"/>
          <w:lang w:eastAsia="cs-CZ"/>
        </w:rPr>
        <w:t xml:space="preserve">. trimestru považována hodnota TSH 0,1 </w:t>
      </w:r>
      <w:proofErr w:type="spellStart"/>
      <w:r w:rsidRPr="002107A5">
        <w:rPr>
          <w:rFonts w:eastAsia="Calibri" w:cstheme="minorHAnsi"/>
          <w:lang w:eastAsia="cs-CZ"/>
        </w:rPr>
        <w:t>mU</w:t>
      </w:r>
      <w:proofErr w:type="spellEnd"/>
      <w:r w:rsidRPr="002107A5">
        <w:rPr>
          <w:rFonts w:eastAsia="Calibri" w:cstheme="minorHAnsi"/>
          <w:lang w:eastAsia="cs-CZ"/>
        </w:rPr>
        <w:t xml:space="preserve">/l a za horní limit je považován horní limit referenčního rozmezí pro běžnou populaci ponížený o 0,5 </w:t>
      </w:r>
      <w:proofErr w:type="spellStart"/>
      <w:r w:rsidRPr="002107A5">
        <w:rPr>
          <w:rFonts w:eastAsia="Calibri" w:cstheme="minorHAnsi"/>
          <w:lang w:eastAsia="cs-CZ"/>
        </w:rPr>
        <w:t>mU</w:t>
      </w:r>
      <w:proofErr w:type="spellEnd"/>
      <w:r w:rsidRPr="002107A5">
        <w:rPr>
          <w:rFonts w:eastAsia="Calibri" w:cstheme="minorHAnsi"/>
          <w:lang w:eastAsia="cs-CZ"/>
        </w:rPr>
        <w:t>/l.</w:t>
      </w:r>
    </w:p>
    <w:p w14:paraId="38A1A56E" w14:textId="691FB0F4" w:rsidR="00C6134C" w:rsidRPr="002107A5" w:rsidRDefault="00C6134C" w:rsidP="002107A5">
      <w:pPr>
        <w:pStyle w:val="Textpoznpodarou"/>
        <w:jc w:val="both"/>
        <w:rPr>
          <w:rFonts w:cstheme="minorHAnsi"/>
        </w:rPr>
      </w:pPr>
      <w:r w:rsidRPr="00E431B4">
        <w:rPr>
          <w:rFonts w:ascii="Calibri" w:eastAsia="Calibri" w:hAnsi="Calibri" w:cs="Calibri"/>
          <w:vertAlign w:val="superscript"/>
        </w:rPr>
        <w:t>2</w:t>
      </w:r>
      <w:r w:rsidRPr="00E431B4">
        <w:rPr>
          <w:rFonts w:ascii="Calibri" w:eastAsia="Calibri" w:hAnsi="Calibri" w:cs="Calibri"/>
        </w:rPr>
        <w:t xml:space="preserve"> </w:t>
      </w:r>
      <w:r w:rsidRPr="00E431B4">
        <w:rPr>
          <w:rFonts w:eastAsia="Calibri" w:cstheme="minorHAnsi"/>
          <w:lang w:eastAsia="cs-CZ"/>
        </w:rPr>
        <w:t>Žena má být informována, že nejsou dostatečn</w:t>
      </w:r>
      <w:r w:rsidR="00F15BB1" w:rsidRPr="00E431B4">
        <w:rPr>
          <w:rFonts w:eastAsia="Calibri" w:cstheme="minorHAnsi"/>
          <w:lang w:eastAsia="cs-CZ"/>
        </w:rPr>
        <w:t>é důk</w:t>
      </w:r>
      <w:r w:rsidR="00915379" w:rsidRPr="00E431B4">
        <w:rPr>
          <w:rFonts w:eastAsia="Calibri" w:cstheme="minorHAnsi"/>
          <w:lang w:eastAsia="cs-CZ"/>
        </w:rPr>
        <w:t>a</w:t>
      </w:r>
      <w:r w:rsidR="00F15BB1" w:rsidRPr="00E431B4">
        <w:rPr>
          <w:rFonts w:eastAsia="Calibri" w:cstheme="minorHAnsi"/>
          <w:lang w:eastAsia="cs-CZ"/>
        </w:rPr>
        <w:t>zy</w:t>
      </w:r>
      <w:r w:rsidR="00EB3D9E" w:rsidRPr="00E431B4">
        <w:rPr>
          <w:rFonts w:eastAsia="Calibri" w:cstheme="minorHAnsi"/>
          <w:lang w:eastAsia="cs-CZ"/>
        </w:rPr>
        <w:t xml:space="preserve"> </w:t>
      </w:r>
      <w:r w:rsidR="007976AD" w:rsidRPr="00E431B4">
        <w:rPr>
          <w:rFonts w:eastAsia="Calibri" w:cstheme="minorHAnsi"/>
          <w:lang w:eastAsia="cs-CZ"/>
        </w:rPr>
        <w:t>pro</w:t>
      </w:r>
      <w:r w:rsidR="00EB3D9E" w:rsidRPr="00E431B4">
        <w:rPr>
          <w:rFonts w:eastAsia="Calibri" w:cstheme="minorHAnsi"/>
          <w:lang w:eastAsia="cs-CZ"/>
        </w:rPr>
        <w:t xml:space="preserve"> </w:t>
      </w:r>
      <w:r w:rsidR="007976AD" w:rsidRPr="00E431B4">
        <w:rPr>
          <w:rFonts w:eastAsia="Calibri" w:cstheme="minorHAnsi"/>
          <w:lang w:eastAsia="cs-CZ"/>
        </w:rPr>
        <w:t xml:space="preserve">paušální </w:t>
      </w:r>
      <w:r w:rsidRPr="00E431B4">
        <w:rPr>
          <w:rFonts w:eastAsia="Calibri" w:cstheme="minorHAnsi"/>
          <w:lang w:eastAsia="cs-CZ"/>
        </w:rPr>
        <w:t>léčb</w:t>
      </w:r>
      <w:r w:rsidR="007976AD" w:rsidRPr="00E431B4">
        <w:rPr>
          <w:rFonts w:eastAsia="Calibri" w:cstheme="minorHAnsi"/>
          <w:lang w:eastAsia="cs-CZ"/>
        </w:rPr>
        <w:t>u</w:t>
      </w:r>
      <w:r w:rsidRPr="00E431B4">
        <w:rPr>
          <w:rFonts w:eastAsia="Calibri" w:cstheme="minorHAnsi"/>
          <w:lang w:eastAsia="cs-CZ"/>
        </w:rPr>
        <w:t xml:space="preserve"> </w:t>
      </w:r>
      <w:r w:rsidR="00EB3D9E" w:rsidRPr="00E431B4">
        <w:rPr>
          <w:rFonts w:eastAsia="Calibri" w:cstheme="minorHAnsi"/>
          <w:lang w:eastAsia="cs-CZ"/>
        </w:rPr>
        <w:t xml:space="preserve">mírné izolované </w:t>
      </w:r>
      <w:r w:rsidRPr="00E431B4">
        <w:rPr>
          <w:rFonts w:eastAsia="Calibri" w:cstheme="minorHAnsi"/>
          <w:lang w:eastAsia="cs-CZ"/>
        </w:rPr>
        <w:t>subklinické hypotyreózy</w:t>
      </w:r>
      <w:r w:rsidR="00EB3D9E" w:rsidRPr="00E431B4">
        <w:rPr>
          <w:rFonts w:eastAsia="Calibri" w:cstheme="minorHAnsi"/>
          <w:lang w:eastAsia="cs-CZ"/>
        </w:rPr>
        <w:t xml:space="preserve"> (s negativními </w:t>
      </w:r>
      <w:proofErr w:type="spellStart"/>
      <w:r w:rsidR="00EB3D9E" w:rsidRPr="00E431B4">
        <w:rPr>
          <w:rFonts w:eastAsia="Calibri" w:cstheme="minorHAnsi"/>
          <w:lang w:eastAsia="cs-CZ"/>
        </w:rPr>
        <w:t>TPOAb</w:t>
      </w:r>
      <w:proofErr w:type="spellEnd"/>
      <w:r w:rsidR="00EB3D9E" w:rsidRPr="00E431B4">
        <w:rPr>
          <w:rFonts w:eastAsia="Calibri" w:cstheme="minorHAnsi"/>
          <w:lang w:eastAsia="cs-CZ"/>
        </w:rPr>
        <w:t>)</w:t>
      </w:r>
      <w:r w:rsidR="007D18F6" w:rsidRPr="00E431B4">
        <w:rPr>
          <w:rFonts w:eastAsia="Calibri" w:cstheme="minorHAnsi"/>
          <w:lang w:eastAsia="cs-CZ"/>
        </w:rPr>
        <w:t xml:space="preserve"> v těhotenství</w:t>
      </w:r>
      <w:r w:rsidR="00915379" w:rsidRPr="00E431B4">
        <w:rPr>
          <w:rFonts w:eastAsia="Calibri" w:cstheme="minorHAnsi"/>
          <w:lang w:eastAsia="cs-CZ"/>
        </w:rPr>
        <w:t xml:space="preserve">, a že i předávkování </w:t>
      </w:r>
      <w:proofErr w:type="spellStart"/>
      <w:r w:rsidR="00915379" w:rsidRPr="00E431B4">
        <w:rPr>
          <w:rFonts w:eastAsia="Calibri" w:cstheme="minorHAnsi"/>
          <w:lang w:eastAsia="cs-CZ"/>
        </w:rPr>
        <w:t>levotyroxinem</w:t>
      </w:r>
      <w:proofErr w:type="spellEnd"/>
      <w:r w:rsidR="00915379" w:rsidRPr="00E431B4">
        <w:rPr>
          <w:rFonts w:eastAsia="Calibri" w:cstheme="minorHAnsi"/>
          <w:lang w:eastAsia="cs-CZ"/>
        </w:rPr>
        <w:t xml:space="preserve"> může mít rizika</w:t>
      </w:r>
    </w:p>
  </w:footnote>
  <w:footnote w:id="2">
    <w:p w14:paraId="31334431" w14:textId="4A847B81" w:rsidR="0003218A" w:rsidRDefault="0003218A" w:rsidP="009618C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Péči o těhotné </w:t>
      </w:r>
      <w:r w:rsidRPr="00D01414">
        <w:t>ženy s pozitivním výsledkem „flexního“ laboratorního tyreoidálního testu</w:t>
      </w:r>
      <w:r>
        <w:t xml:space="preserve"> mohou provádět také diabetologové po absolvování </w:t>
      </w:r>
      <w:r w:rsidRPr="00D01414">
        <w:t>specializační</w:t>
      </w:r>
      <w:r>
        <w:t>ho</w:t>
      </w:r>
      <w:r w:rsidRPr="00D01414">
        <w:t xml:space="preserve"> kurz</w:t>
      </w:r>
      <w:r>
        <w:t xml:space="preserve">u, který </w:t>
      </w:r>
      <w:r w:rsidRPr="00D01414">
        <w:t>realizuje ČES ČLS JEP</w:t>
      </w:r>
      <w:r>
        <w:t xml:space="preserve">. </w:t>
      </w:r>
      <w:r w:rsidR="00CF5C9A">
        <w:t>Další informace jsou dostupné</w:t>
      </w:r>
      <w:r>
        <w:t xml:space="preserve"> na stránkách odborné společnosti.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3222" w14:textId="1F6C8636" w:rsidR="00B25E40" w:rsidRDefault="00000000">
    <w:pPr>
      <w:pStyle w:val="Zhlav"/>
    </w:pPr>
    <w:r>
      <w:rPr>
        <w:noProof/>
      </w:rPr>
      <w:pict w14:anchorId="35ABEB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0922" o:spid="_x0000_s1026" type="#_x0000_t136" style="position:absolute;left:0;text-align:left;margin-left:0;margin-top:0;width:532.85pt;height:10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UZE 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0"/>
      <w:gridCol w:w="4428"/>
      <w:gridCol w:w="1423"/>
    </w:tblGrid>
    <w:tr w:rsidR="005C4C68" w14:paraId="50DA4BDC" w14:textId="77777777" w:rsidTr="00BB534D">
      <w:tc>
        <w:tcPr>
          <w:tcW w:w="3220" w:type="dxa"/>
          <w:vAlign w:val="center"/>
        </w:tcPr>
        <w:p w14:paraId="11C076BA" w14:textId="6DAF570B" w:rsidR="005C4C68" w:rsidRDefault="005C7D4F" w:rsidP="00BB534D">
          <w:pPr>
            <w:pStyle w:val="Zhlav"/>
            <w:spacing w:before="0"/>
            <w:jc w:val="left"/>
          </w:pPr>
          <w:r w:rsidRPr="00EC13E2">
            <w:rPr>
              <w:noProof/>
              <w:lang w:eastAsia="cs-CZ"/>
            </w:rPr>
            <w:drawing>
              <wp:inline distT="0" distB="0" distL="0" distR="0" wp14:anchorId="7AAB42D8" wp14:editId="1730506F">
                <wp:extent cx="1684800" cy="360000"/>
                <wp:effectExtent l="0" t="0" r="0" b="2540"/>
                <wp:docPr id="438439225" name="Grafický objekt 438439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Align w:val="center"/>
        </w:tcPr>
        <w:p w14:paraId="1F977625" w14:textId="1AB165A8" w:rsidR="005C4C68" w:rsidRDefault="005C7D4F" w:rsidP="00BB534D">
          <w:pPr>
            <w:pStyle w:val="Zhlav"/>
            <w:spacing w:before="0"/>
            <w:jc w:val="center"/>
          </w:pPr>
          <w:r w:rsidRPr="00A602B4">
            <w:rPr>
              <w:noProof/>
            </w:rPr>
            <w:drawing>
              <wp:inline distT="0" distB="0" distL="0" distR="0" wp14:anchorId="229598C7" wp14:editId="6012CD5A">
                <wp:extent cx="1522800" cy="360000"/>
                <wp:effectExtent l="0" t="0" r="1270" b="2540"/>
                <wp:docPr id="1642028461" name="Grafický objekt 1642028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109C223E" w14:textId="106C693C" w:rsidR="005C4C68" w:rsidRDefault="005C7D4F" w:rsidP="00BB534D">
          <w:pPr>
            <w:pStyle w:val="Zhlav"/>
            <w:spacing w:before="0"/>
            <w:jc w:val="right"/>
          </w:pPr>
          <w:r>
            <w:rPr>
              <w:noProof/>
            </w:rPr>
            <w:drawing>
              <wp:inline distT="0" distB="0" distL="0" distR="0" wp14:anchorId="2A0DD380" wp14:editId="6F77B1E2">
                <wp:extent cx="543600" cy="360000"/>
                <wp:effectExtent l="0" t="0" r="0" b="2540"/>
                <wp:docPr id="1948792445" name="Grafický objekt 1948792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AD14BE" w14:textId="26790B27" w:rsidR="005C4C68" w:rsidRPr="00CC5E7E" w:rsidRDefault="00000000" w:rsidP="002A722D">
    <w:pPr>
      <w:pStyle w:val="Zhlav"/>
      <w:spacing w:before="0"/>
      <w:jc w:val="center"/>
    </w:pPr>
    <w:r>
      <w:rPr>
        <w:noProof/>
      </w:rPr>
      <w:pict w14:anchorId="4C3EF6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0923" o:spid="_x0000_s1027" type="#_x0000_t136" style="position:absolute;left:0;text-align:left;margin-left:0;margin-top:0;width:532.85pt;height:10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UZE 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D809" w14:textId="4A65466A" w:rsidR="00B25E40" w:rsidRDefault="00000000">
    <w:pPr>
      <w:pStyle w:val="Zhlav"/>
    </w:pPr>
    <w:r>
      <w:rPr>
        <w:noProof/>
      </w:rPr>
      <w:pict w14:anchorId="3E5B29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0921" o:spid="_x0000_s1025" type="#_x0000_t136" style="position:absolute;left:0;text-align:left;margin-left:0;margin-top:0;width:532.85pt;height:10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UZE NÁVRH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D050" w14:textId="75F4C494" w:rsidR="00B25E40" w:rsidRDefault="00000000">
    <w:pPr>
      <w:pStyle w:val="Zhlav"/>
    </w:pPr>
    <w:r>
      <w:rPr>
        <w:noProof/>
      </w:rPr>
      <w:pict w14:anchorId="4818AE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0925" o:spid="_x0000_s1029" type="#_x0000_t136" style="position:absolute;left:0;text-align:left;margin-left:0;margin-top:0;width:532.85pt;height:106.5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UZE NÁVRH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0"/>
      <w:gridCol w:w="3584"/>
      <w:gridCol w:w="844"/>
      <w:gridCol w:w="1423"/>
    </w:tblGrid>
    <w:tr w:rsidR="00CF5C9A" w14:paraId="338081DC" w14:textId="77777777" w:rsidTr="00CF5C9A">
      <w:tc>
        <w:tcPr>
          <w:tcW w:w="3220" w:type="dxa"/>
          <w:vAlign w:val="center"/>
        </w:tcPr>
        <w:p w14:paraId="3ADABB01" w14:textId="77777777" w:rsidR="00CF5C9A" w:rsidRDefault="00CF5C9A" w:rsidP="00CF5C9A">
          <w:pPr>
            <w:pStyle w:val="Zhlav"/>
            <w:spacing w:before="0"/>
            <w:jc w:val="left"/>
          </w:pPr>
          <w:r w:rsidRPr="00EC13E2">
            <w:rPr>
              <w:noProof/>
              <w:lang w:eastAsia="cs-CZ"/>
            </w:rPr>
            <w:drawing>
              <wp:inline distT="0" distB="0" distL="0" distR="0" wp14:anchorId="6402ACE3" wp14:editId="55AF63BE">
                <wp:extent cx="1684800" cy="360000"/>
                <wp:effectExtent l="0" t="0" r="0" b="2540"/>
                <wp:docPr id="4" name="Grafický 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gridSpan w:val="2"/>
          <w:vAlign w:val="center"/>
        </w:tcPr>
        <w:p w14:paraId="7444F126" w14:textId="77777777" w:rsidR="00CF5C9A" w:rsidRDefault="00CF5C9A" w:rsidP="00CF5C9A">
          <w:pPr>
            <w:pStyle w:val="Zhlav"/>
            <w:spacing w:before="0"/>
            <w:jc w:val="center"/>
          </w:pPr>
          <w:r w:rsidRPr="00A602B4">
            <w:rPr>
              <w:noProof/>
            </w:rPr>
            <w:drawing>
              <wp:inline distT="0" distB="0" distL="0" distR="0" wp14:anchorId="449263B6" wp14:editId="3F082857">
                <wp:extent cx="1522800" cy="360000"/>
                <wp:effectExtent l="0" t="0" r="1270" b="2540"/>
                <wp:docPr id="5" name="Grafický 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13E42C34" w14:textId="77777777" w:rsidR="00CF5C9A" w:rsidRDefault="00CF5C9A" w:rsidP="00CF5C9A">
          <w:pPr>
            <w:pStyle w:val="Zhlav"/>
            <w:spacing w:before="0"/>
            <w:jc w:val="right"/>
          </w:pPr>
          <w:r>
            <w:rPr>
              <w:noProof/>
            </w:rPr>
            <w:drawing>
              <wp:inline distT="0" distB="0" distL="0" distR="0" wp14:anchorId="370068AC" wp14:editId="25BC6ADF">
                <wp:extent cx="543600" cy="360000"/>
                <wp:effectExtent l="0" t="0" r="0" b="2540"/>
                <wp:docPr id="6" name="Grafický 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40FCA" w14:paraId="63D71183" w14:textId="77777777" w:rsidTr="00CF5C9A">
      <w:tc>
        <w:tcPr>
          <w:tcW w:w="6804" w:type="dxa"/>
          <w:gridSpan w:val="2"/>
        </w:tcPr>
        <w:p w14:paraId="539FF60B" w14:textId="1725E241" w:rsidR="00440FCA" w:rsidRDefault="00440FCA" w:rsidP="00440FCA">
          <w:pPr>
            <w:pStyle w:val="Zhlav-zpat"/>
            <w:spacing w:before="0" w:after="0"/>
          </w:pPr>
        </w:p>
      </w:tc>
      <w:tc>
        <w:tcPr>
          <w:tcW w:w="2266" w:type="dxa"/>
          <w:gridSpan w:val="2"/>
          <w:vAlign w:val="center"/>
        </w:tcPr>
        <w:p w14:paraId="3AAEED6C" w14:textId="1A5B7A02" w:rsidR="00440FCA" w:rsidRDefault="00440FCA" w:rsidP="00440FCA">
          <w:pPr>
            <w:pStyle w:val="Zhlav-zpat"/>
            <w:spacing w:before="0" w:after="0"/>
            <w:jc w:val="right"/>
          </w:pPr>
        </w:p>
      </w:tc>
    </w:tr>
  </w:tbl>
  <w:p w14:paraId="1250A8B9" w14:textId="2262A46A" w:rsidR="00554A70" w:rsidRPr="00542F20" w:rsidRDefault="00000000" w:rsidP="00874117">
    <w:pPr>
      <w:pStyle w:val="Zpat"/>
      <w:tabs>
        <w:tab w:val="clear" w:pos="4536"/>
        <w:tab w:val="clear" w:pos="9072"/>
        <w:tab w:val="left" w:pos="3630"/>
      </w:tabs>
      <w:spacing w:before="0"/>
    </w:pPr>
    <w:r>
      <w:rPr>
        <w:noProof/>
      </w:rPr>
      <w:pict w14:anchorId="1C707C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0926" o:spid="_x0000_s1030" type="#_x0000_t136" style="position:absolute;left:0;text-align:left;margin-left:0;margin-top:0;width:532.85pt;height:106.5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UZE NÁVRH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FCD0" w14:textId="6A6D65B7" w:rsidR="00B25E40" w:rsidRDefault="00000000">
    <w:pPr>
      <w:pStyle w:val="Zhlav"/>
    </w:pPr>
    <w:r>
      <w:rPr>
        <w:noProof/>
      </w:rPr>
      <w:pict w14:anchorId="5E3676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880924" o:spid="_x0000_s1028" type="#_x0000_t136" style="position:absolute;left:0;text-align:left;margin-left:0;margin-top:0;width:532.85pt;height:106.5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UZE 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"/>
      </v:shape>
    </w:pict>
  </w:numPicBullet>
  <w:abstractNum w:abstractNumId="0" w15:restartNumberingAfterBreak="0">
    <w:nsid w:val="0681314A"/>
    <w:multiLevelType w:val="hybridMultilevel"/>
    <w:tmpl w:val="9148F6F8"/>
    <w:lvl w:ilvl="0" w:tplc="B998A8B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EF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BF23AF"/>
    <w:multiLevelType w:val="hybridMultilevel"/>
    <w:tmpl w:val="2CD4275C"/>
    <w:lvl w:ilvl="0" w:tplc="E110A44A">
      <w:start w:val="1"/>
      <w:numFmt w:val="decimal"/>
      <w:lvlText w:val="%1. 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3A3567D"/>
    <w:multiLevelType w:val="hybridMultilevel"/>
    <w:tmpl w:val="27D80DCA"/>
    <w:lvl w:ilvl="0" w:tplc="2434573E">
      <w:start w:val="1"/>
      <w:numFmt w:val="decimal"/>
      <w:lvlText w:val="1.1.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9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0D10CB"/>
    <w:multiLevelType w:val="hybridMultilevel"/>
    <w:tmpl w:val="BD4EE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5DF5"/>
    <w:multiLevelType w:val="hybridMultilevel"/>
    <w:tmpl w:val="3CCA86CA"/>
    <w:lvl w:ilvl="0" w:tplc="40EC09D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3004CC0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BA6603"/>
    <w:multiLevelType w:val="hybridMultilevel"/>
    <w:tmpl w:val="7666C69C"/>
    <w:lvl w:ilvl="0" w:tplc="C070FB0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7CA"/>
    <w:multiLevelType w:val="multilevel"/>
    <w:tmpl w:val="936AF594"/>
    <w:styleLink w:val="Aktulnseznam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C2F7A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94C08"/>
    <w:multiLevelType w:val="hybridMultilevel"/>
    <w:tmpl w:val="37FE8820"/>
    <w:lvl w:ilvl="0" w:tplc="7C16C788">
      <w:start w:val="2"/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465B5C3F"/>
    <w:multiLevelType w:val="hybridMultilevel"/>
    <w:tmpl w:val="4ABED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72227"/>
    <w:multiLevelType w:val="hybridMultilevel"/>
    <w:tmpl w:val="0A1C536A"/>
    <w:lvl w:ilvl="0" w:tplc="CC9E3ED6">
      <w:start w:val="1"/>
      <w:numFmt w:val="decimal"/>
      <w:lvlText w:val="1.%1.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E21A1"/>
    <w:multiLevelType w:val="hybridMultilevel"/>
    <w:tmpl w:val="9336172E"/>
    <w:lvl w:ilvl="0" w:tplc="3A82F7D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E47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334A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B1E41"/>
    <w:multiLevelType w:val="hybridMultilevel"/>
    <w:tmpl w:val="B276E43E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7" w15:restartNumberingAfterBreak="0">
    <w:nsid w:val="4F995D31"/>
    <w:multiLevelType w:val="hybridMultilevel"/>
    <w:tmpl w:val="CE1C9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D1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ED6C13"/>
    <w:multiLevelType w:val="hybridMultilevel"/>
    <w:tmpl w:val="48CAE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87AEB"/>
    <w:multiLevelType w:val="hybridMultilevel"/>
    <w:tmpl w:val="D2C0C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753C8"/>
    <w:multiLevelType w:val="hybridMultilevel"/>
    <w:tmpl w:val="BEF8AC4C"/>
    <w:lvl w:ilvl="0" w:tplc="79008CC8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14C6D"/>
    <w:multiLevelType w:val="hybridMultilevel"/>
    <w:tmpl w:val="D4545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022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8E7758"/>
    <w:multiLevelType w:val="hybridMultilevel"/>
    <w:tmpl w:val="81BC7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66B6E"/>
    <w:multiLevelType w:val="hybridMultilevel"/>
    <w:tmpl w:val="4078B5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6165B3"/>
    <w:multiLevelType w:val="hybridMultilevel"/>
    <w:tmpl w:val="90EAD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43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913B79"/>
    <w:multiLevelType w:val="hybridMultilevel"/>
    <w:tmpl w:val="2814E680"/>
    <w:lvl w:ilvl="0" w:tplc="968C00E8">
      <w:start w:val="1"/>
      <w:numFmt w:val="bullet"/>
      <w:pStyle w:val="Odstavecseseznamem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043112"/>
    <w:multiLevelType w:val="hybridMultilevel"/>
    <w:tmpl w:val="675CB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F046F"/>
    <w:multiLevelType w:val="hybridMultilevel"/>
    <w:tmpl w:val="83E430D8"/>
    <w:lvl w:ilvl="0" w:tplc="BF14E352">
      <w:numFmt w:val="bullet"/>
      <w:lvlText w:val="•"/>
      <w:lvlJc w:val="left"/>
      <w:pPr>
        <w:ind w:left="702" w:hanging="525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1" w15:restartNumberingAfterBreak="0">
    <w:nsid w:val="778A37E2"/>
    <w:multiLevelType w:val="hybridMultilevel"/>
    <w:tmpl w:val="164CA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555BB"/>
    <w:multiLevelType w:val="hybridMultilevel"/>
    <w:tmpl w:val="84844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17C02"/>
    <w:multiLevelType w:val="hybridMultilevel"/>
    <w:tmpl w:val="62D02454"/>
    <w:lvl w:ilvl="0" w:tplc="BF14E352">
      <w:numFmt w:val="bullet"/>
      <w:lvlText w:val="•"/>
      <w:lvlJc w:val="left"/>
      <w:pPr>
        <w:ind w:left="702" w:hanging="525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D6E2D"/>
    <w:multiLevelType w:val="hybridMultilevel"/>
    <w:tmpl w:val="F7FAF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04633">
    <w:abstractNumId w:val="13"/>
  </w:num>
  <w:num w:numId="2" w16cid:durableId="1546023722">
    <w:abstractNumId w:val="17"/>
  </w:num>
  <w:num w:numId="3" w16cid:durableId="153647740">
    <w:abstractNumId w:val="11"/>
  </w:num>
  <w:num w:numId="4" w16cid:durableId="2061782430">
    <w:abstractNumId w:val="29"/>
  </w:num>
  <w:num w:numId="5" w16cid:durableId="1739397283">
    <w:abstractNumId w:val="0"/>
  </w:num>
  <w:num w:numId="6" w16cid:durableId="1590894649">
    <w:abstractNumId w:val="2"/>
  </w:num>
  <w:num w:numId="7" w16cid:durableId="5332998">
    <w:abstractNumId w:val="28"/>
  </w:num>
  <w:num w:numId="8" w16cid:durableId="1278679267">
    <w:abstractNumId w:val="7"/>
  </w:num>
  <w:num w:numId="9" w16cid:durableId="1238518435">
    <w:abstractNumId w:val="14"/>
  </w:num>
  <w:num w:numId="10" w16cid:durableId="1275861792">
    <w:abstractNumId w:val="27"/>
  </w:num>
  <w:num w:numId="11" w16cid:durableId="2127313914">
    <w:abstractNumId w:val="3"/>
  </w:num>
  <w:num w:numId="12" w16cid:durableId="1252470177">
    <w:abstractNumId w:val="23"/>
  </w:num>
  <w:num w:numId="13" w16cid:durableId="20739777">
    <w:abstractNumId w:val="18"/>
  </w:num>
  <w:num w:numId="14" w16cid:durableId="2018919383">
    <w:abstractNumId w:val="4"/>
  </w:num>
  <w:num w:numId="15" w16cid:durableId="298078248">
    <w:abstractNumId w:val="15"/>
  </w:num>
  <w:num w:numId="16" w16cid:durableId="2140144357">
    <w:abstractNumId w:val="8"/>
  </w:num>
  <w:num w:numId="17" w16cid:durableId="241525290">
    <w:abstractNumId w:val="12"/>
  </w:num>
  <w:num w:numId="18" w16cid:durableId="196281590">
    <w:abstractNumId w:val="1"/>
  </w:num>
  <w:num w:numId="19" w16cid:durableId="1201934408">
    <w:abstractNumId w:val="24"/>
  </w:num>
  <w:num w:numId="20" w16cid:durableId="821973028">
    <w:abstractNumId w:val="21"/>
  </w:num>
  <w:num w:numId="21" w16cid:durableId="109787602">
    <w:abstractNumId w:val="25"/>
  </w:num>
  <w:num w:numId="22" w16cid:durableId="2138180559">
    <w:abstractNumId w:val="9"/>
  </w:num>
  <w:num w:numId="23" w16cid:durableId="936450115">
    <w:abstractNumId w:val="32"/>
  </w:num>
  <w:num w:numId="24" w16cid:durableId="1239170746">
    <w:abstractNumId w:val="22"/>
  </w:num>
  <w:num w:numId="25" w16cid:durableId="360598058">
    <w:abstractNumId w:val="5"/>
  </w:num>
  <w:num w:numId="26" w16cid:durableId="1292326100">
    <w:abstractNumId w:val="31"/>
  </w:num>
  <w:num w:numId="27" w16cid:durableId="1233782730">
    <w:abstractNumId w:val="26"/>
  </w:num>
  <w:num w:numId="28" w16cid:durableId="1625842839">
    <w:abstractNumId w:val="20"/>
  </w:num>
  <w:num w:numId="29" w16cid:durableId="196160209">
    <w:abstractNumId w:val="34"/>
  </w:num>
  <w:num w:numId="30" w16cid:durableId="567574127">
    <w:abstractNumId w:val="19"/>
  </w:num>
  <w:num w:numId="31" w16cid:durableId="1218781191">
    <w:abstractNumId w:val="16"/>
  </w:num>
  <w:num w:numId="32" w16cid:durableId="1375037833">
    <w:abstractNumId w:val="30"/>
  </w:num>
  <w:num w:numId="33" w16cid:durableId="2078673417">
    <w:abstractNumId w:val="33"/>
  </w:num>
  <w:num w:numId="34" w16cid:durableId="1102452601">
    <w:abstractNumId w:val="10"/>
  </w:num>
  <w:num w:numId="35" w16cid:durableId="171533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E"/>
    <w:rsid w:val="00001609"/>
    <w:rsid w:val="00014680"/>
    <w:rsid w:val="00026086"/>
    <w:rsid w:val="00031AEF"/>
    <w:rsid w:val="0003218A"/>
    <w:rsid w:val="000355B6"/>
    <w:rsid w:val="00036FAB"/>
    <w:rsid w:val="000423A1"/>
    <w:rsid w:val="00046F17"/>
    <w:rsid w:val="0006116B"/>
    <w:rsid w:val="00062732"/>
    <w:rsid w:val="00065A14"/>
    <w:rsid w:val="00067855"/>
    <w:rsid w:val="00080ECA"/>
    <w:rsid w:val="0008287F"/>
    <w:rsid w:val="0008696C"/>
    <w:rsid w:val="000944D5"/>
    <w:rsid w:val="00096055"/>
    <w:rsid w:val="00097A0C"/>
    <w:rsid w:val="000A1889"/>
    <w:rsid w:val="000A280D"/>
    <w:rsid w:val="000A40E2"/>
    <w:rsid w:val="000B0851"/>
    <w:rsid w:val="000B0C28"/>
    <w:rsid w:val="000B45CF"/>
    <w:rsid w:val="000B45E5"/>
    <w:rsid w:val="000C13E1"/>
    <w:rsid w:val="000C2413"/>
    <w:rsid w:val="000C5526"/>
    <w:rsid w:val="000C61AF"/>
    <w:rsid w:val="000D32EB"/>
    <w:rsid w:val="000D7C41"/>
    <w:rsid w:val="000E4599"/>
    <w:rsid w:val="000E6A9F"/>
    <w:rsid w:val="000E786E"/>
    <w:rsid w:val="000F07B9"/>
    <w:rsid w:val="000F50BE"/>
    <w:rsid w:val="0011398B"/>
    <w:rsid w:val="001251C2"/>
    <w:rsid w:val="00132825"/>
    <w:rsid w:val="0013637E"/>
    <w:rsid w:val="0014388F"/>
    <w:rsid w:val="0014799C"/>
    <w:rsid w:val="00150F55"/>
    <w:rsid w:val="00157414"/>
    <w:rsid w:val="00160C15"/>
    <w:rsid w:val="00164547"/>
    <w:rsid w:val="001656E2"/>
    <w:rsid w:val="00166194"/>
    <w:rsid w:val="00172A67"/>
    <w:rsid w:val="0017312B"/>
    <w:rsid w:val="00175CE9"/>
    <w:rsid w:val="0019223A"/>
    <w:rsid w:val="001A4D0F"/>
    <w:rsid w:val="001A74C6"/>
    <w:rsid w:val="001B1454"/>
    <w:rsid w:val="001C412A"/>
    <w:rsid w:val="001C5ED7"/>
    <w:rsid w:val="001C6EE3"/>
    <w:rsid w:val="001C73A7"/>
    <w:rsid w:val="001D1D12"/>
    <w:rsid w:val="001E5773"/>
    <w:rsid w:val="001F1B39"/>
    <w:rsid w:val="001F2267"/>
    <w:rsid w:val="001F5EE2"/>
    <w:rsid w:val="00200E6E"/>
    <w:rsid w:val="00202384"/>
    <w:rsid w:val="00202E2A"/>
    <w:rsid w:val="002030E0"/>
    <w:rsid w:val="002107A5"/>
    <w:rsid w:val="00216CCE"/>
    <w:rsid w:val="0021793F"/>
    <w:rsid w:val="00217B32"/>
    <w:rsid w:val="00225193"/>
    <w:rsid w:val="00226FA1"/>
    <w:rsid w:val="002322EA"/>
    <w:rsid w:val="002357AF"/>
    <w:rsid w:val="002440C2"/>
    <w:rsid w:val="002675F6"/>
    <w:rsid w:val="00267C4C"/>
    <w:rsid w:val="0027235E"/>
    <w:rsid w:val="00272AB3"/>
    <w:rsid w:val="00275C64"/>
    <w:rsid w:val="00281194"/>
    <w:rsid w:val="00296D58"/>
    <w:rsid w:val="00297DF8"/>
    <w:rsid w:val="002A6994"/>
    <w:rsid w:val="002A722D"/>
    <w:rsid w:val="002B3F84"/>
    <w:rsid w:val="002B5D77"/>
    <w:rsid w:val="002D49AE"/>
    <w:rsid w:val="002D5DC6"/>
    <w:rsid w:val="00303FA7"/>
    <w:rsid w:val="00312F5B"/>
    <w:rsid w:val="00314427"/>
    <w:rsid w:val="00314D17"/>
    <w:rsid w:val="00315869"/>
    <w:rsid w:val="003171F5"/>
    <w:rsid w:val="00324132"/>
    <w:rsid w:val="0032446B"/>
    <w:rsid w:val="003304C2"/>
    <w:rsid w:val="0033136A"/>
    <w:rsid w:val="0033183F"/>
    <w:rsid w:val="003413E0"/>
    <w:rsid w:val="00347E3B"/>
    <w:rsid w:val="00350BF6"/>
    <w:rsid w:val="003631FF"/>
    <w:rsid w:val="00363676"/>
    <w:rsid w:val="00372326"/>
    <w:rsid w:val="00383E5C"/>
    <w:rsid w:val="00387A6D"/>
    <w:rsid w:val="00390BEE"/>
    <w:rsid w:val="003A0DAC"/>
    <w:rsid w:val="003A15E7"/>
    <w:rsid w:val="003A6952"/>
    <w:rsid w:val="003B34E8"/>
    <w:rsid w:val="003B67D3"/>
    <w:rsid w:val="003C3B66"/>
    <w:rsid w:val="003F0462"/>
    <w:rsid w:val="003F3ACD"/>
    <w:rsid w:val="003F556F"/>
    <w:rsid w:val="00407D39"/>
    <w:rsid w:val="0042301A"/>
    <w:rsid w:val="004331ED"/>
    <w:rsid w:val="00440FCA"/>
    <w:rsid w:val="00447F76"/>
    <w:rsid w:val="004555EF"/>
    <w:rsid w:val="00467D89"/>
    <w:rsid w:val="004701AC"/>
    <w:rsid w:val="00485323"/>
    <w:rsid w:val="00492ADA"/>
    <w:rsid w:val="004A0423"/>
    <w:rsid w:val="004A052F"/>
    <w:rsid w:val="004A3617"/>
    <w:rsid w:val="004A589E"/>
    <w:rsid w:val="004C175A"/>
    <w:rsid w:val="004C3093"/>
    <w:rsid w:val="004D1102"/>
    <w:rsid w:val="004D11E8"/>
    <w:rsid w:val="004E4F3D"/>
    <w:rsid w:val="00503B16"/>
    <w:rsid w:val="005210F9"/>
    <w:rsid w:val="00521629"/>
    <w:rsid w:val="00522E9C"/>
    <w:rsid w:val="00542F20"/>
    <w:rsid w:val="00550DCB"/>
    <w:rsid w:val="00554A70"/>
    <w:rsid w:val="00560E98"/>
    <w:rsid w:val="00565D8B"/>
    <w:rsid w:val="005841C4"/>
    <w:rsid w:val="00584453"/>
    <w:rsid w:val="005A244B"/>
    <w:rsid w:val="005A6C9E"/>
    <w:rsid w:val="005B4D19"/>
    <w:rsid w:val="005B78EB"/>
    <w:rsid w:val="005C2650"/>
    <w:rsid w:val="005C4C68"/>
    <w:rsid w:val="005C7060"/>
    <w:rsid w:val="005C7D4F"/>
    <w:rsid w:val="005E1EE2"/>
    <w:rsid w:val="005E55F1"/>
    <w:rsid w:val="005F4C1B"/>
    <w:rsid w:val="005F7A97"/>
    <w:rsid w:val="00606C12"/>
    <w:rsid w:val="00616196"/>
    <w:rsid w:val="006207A4"/>
    <w:rsid w:val="00621F67"/>
    <w:rsid w:val="00632760"/>
    <w:rsid w:val="0063334A"/>
    <w:rsid w:val="006403CB"/>
    <w:rsid w:val="006468AC"/>
    <w:rsid w:val="00651306"/>
    <w:rsid w:val="006552D3"/>
    <w:rsid w:val="0066116E"/>
    <w:rsid w:val="00667A18"/>
    <w:rsid w:val="00674F2C"/>
    <w:rsid w:val="00681B73"/>
    <w:rsid w:val="00685101"/>
    <w:rsid w:val="00687B6F"/>
    <w:rsid w:val="00690130"/>
    <w:rsid w:val="006A4E81"/>
    <w:rsid w:val="006A508F"/>
    <w:rsid w:val="006A5CF9"/>
    <w:rsid w:val="006B1540"/>
    <w:rsid w:val="006B4A67"/>
    <w:rsid w:val="006B7187"/>
    <w:rsid w:val="006C1A1D"/>
    <w:rsid w:val="006D27E1"/>
    <w:rsid w:val="006D3B44"/>
    <w:rsid w:val="006D434B"/>
    <w:rsid w:val="006E226F"/>
    <w:rsid w:val="006E4DC0"/>
    <w:rsid w:val="006E7293"/>
    <w:rsid w:val="006F12E9"/>
    <w:rsid w:val="006F37FE"/>
    <w:rsid w:val="00723168"/>
    <w:rsid w:val="00730623"/>
    <w:rsid w:val="007329D1"/>
    <w:rsid w:val="007365A5"/>
    <w:rsid w:val="00764C9D"/>
    <w:rsid w:val="00765FA3"/>
    <w:rsid w:val="007727C1"/>
    <w:rsid w:val="00785F5B"/>
    <w:rsid w:val="00792F6E"/>
    <w:rsid w:val="007976AD"/>
    <w:rsid w:val="007A0386"/>
    <w:rsid w:val="007A34CC"/>
    <w:rsid w:val="007B213B"/>
    <w:rsid w:val="007C71E8"/>
    <w:rsid w:val="007D05A6"/>
    <w:rsid w:val="007D18F6"/>
    <w:rsid w:val="007D256F"/>
    <w:rsid w:val="007D31D9"/>
    <w:rsid w:val="007E36E9"/>
    <w:rsid w:val="007E64B5"/>
    <w:rsid w:val="007F6AA6"/>
    <w:rsid w:val="008054E1"/>
    <w:rsid w:val="00805A16"/>
    <w:rsid w:val="008205FA"/>
    <w:rsid w:val="008255FD"/>
    <w:rsid w:val="008324BC"/>
    <w:rsid w:val="0083293C"/>
    <w:rsid w:val="00833C6E"/>
    <w:rsid w:val="00834419"/>
    <w:rsid w:val="00842F31"/>
    <w:rsid w:val="008506A0"/>
    <w:rsid w:val="00851D14"/>
    <w:rsid w:val="0086100B"/>
    <w:rsid w:val="00861D9E"/>
    <w:rsid w:val="00865A2A"/>
    <w:rsid w:val="0086603E"/>
    <w:rsid w:val="00870024"/>
    <w:rsid w:val="0087174E"/>
    <w:rsid w:val="00871D04"/>
    <w:rsid w:val="00873BB2"/>
    <w:rsid w:val="00874117"/>
    <w:rsid w:val="00885E0E"/>
    <w:rsid w:val="00886605"/>
    <w:rsid w:val="00890AF1"/>
    <w:rsid w:val="008A0415"/>
    <w:rsid w:val="008A4620"/>
    <w:rsid w:val="008A57F6"/>
    <w:rsid w:val="008B16E9"/>
    <w:rsid w:val="008C23E5"/>
    <w:rsid w:val="008C4363"/>
    <w:rsid w:val="008C699B"/>
    <w:rsid w:val="008E2019"/>
    <w:rsid w:val="00906E27"/>
    <w:rsid w:val="00907E6D"/>
    <w:rsid w:val="00910D04"/>
    <w:rsid w:val="00915379"/>
    <w:rsid w:val="00923940"/>
    <w:rsid w:val="00923978"/>
    <w:rsid w:val="0093247D"/>
    <w:rsid w:val="00933605"/>
    <w:rsid w:val="009343DA"/>
    <w:rsid w:val="009466EB"/>
    <w:rsid w:val="00961654"/>
    <w:rsid w:val="009618C1"/>
    <w:rsid w:val="00962CEB"/>
    <w:rsid w:val="009650D5"/>
    <w:rsid w:val="009672F3"/>
    <w:rsid w:val="00972D58"/>
    <w:rsid w:val="00973FA3"/>
    <w:rsid w:val="00987833"/>
    <w:rsid w:val="009909C6"/>
    <w:rsid w:val="00992D1B"/>
    <w:rsid w:val="00995003"/>
    <w:rsid w:val="009A1B9F"/>
    <w:rsid w:val="009A3C97"/>
    <w:rsid w:val="009B5BA3"/>
    <w:rsid w:val="009D36D3"/>
    <w:rsid w:val="009F032C"/>
    <w:rsid w:val="009F7F76"/>
    <w:rsid w:val="00A0481D"/>
    <w:rsid w:val="00A04D48"/>
    <w:rsid w:val="00A05DD6"/>
    <w:rsid w:val="00A26331"/>
    <w:rsid w:val="00A315E3"/>
    <w:rsid w:val="00A44906"/>
    <w:rsid w:val="00A46355"/>
    <w:rsid w:val="00A46A86"/>
    <w:rsid w:val="00A57247"/>
    <w:rsid w:val="00A602B4"/>
    <w:rsid w:val="00A647C1"/>
    <w:rsid w:val="00A70CC0"/>
    <w:rsid w:val="00A71E2F"/>
    <w:rsid w:val="00A749A1"/>
    <w:rsid w:val="00A80899"/>
    <w:rsid w:val="00A8596E"/>
    <w:rsid w:val="00A86AB4"/>
    <w:rsid w:val="00A8764E"/>
    <w:rsid w:val="00A93A14"/>
    <w:rsid w:val="00AA76E8"/>
    <w:rsid w:val="00AC59AB"/>
    <w:rsid w:val="00AD111C"/>
    <w:rsid w:val="00AE2DB2"/>
    <w:rsid w:val="00AF4AD6"/>
    <w:rsid w:val="00B004BF"/>
    <w:rsid w:val="00B02006"/>
    <w:rsid w:val="00B032C7"/>
    <w:rsid w:val="00B10002"/>
    <w:rsid w:val="00B1179D"/>
    <w:rsid w:val="00B1482F"/>
    <w:rsid w:val="00B1502A"/>
    <w:rsid w:val="00B150D3"/>
    <w:rsid w:val="00B223FD"/>
    <w:rsid w:val="00B25E40"/>
    <w:rsid w:val="00B261E2"/>
    <w:rsid w:val="00B32702"/>
    <w:rsid w:val="00B3345E"/>
    <w:rsid w:val="00B35BB0"/>
    <w:rsid w:val="00B43107"/>
    <w:rsid w:val="00B44FC7"/>
    <w:rsid w:val="00B466CF"/>
    <w:rsid w:val="00B46A5E"/>
    <w:rsid w:val="00B61C22"/>
    <w:rsid w:val="00B61C8E"/>
    <w:rsid w:val="00B63FE0"/>
    <w:rsid w:val="00B7088C"/>
    <w:rsid w:val="00B80496"/>
    <w:rsid w:val="00B8472C"/>
    <w:rsid w:val="00B866EB"/>
    <w:rsid w:val="00B8758F"/>
    <w:rsid w:val="00B929BB"/>
    <w:rsid w:val="00B95153"/>
    <w:rsid w:val="00BA0081"/>
    <w:rsid w:val="00BB40B7"/>
    <w:rsid w:val="00BB534D"/>
    <w:rsid w:val="00BB6945"/>
    <w:rsid w:val="00BC78A2"/>
    <w:rsid w:val="00BE10C5"/>
    <w:rsid w:val="00C000EF"/>
    <w:rsid w:val="00C00966"/>
    <w:rsid w:val="00C0596F"/>
    <w:rsid w:val="00C13288"/>
    <w:rsid w:val="00C17737"/>
    <w:rsid w:val="00C24864"/>
    <w:rsid w:val="00C34CB1"/>
    <w:rsid w:val="00C34DB8"/>
    <w:rsid w:val="00C4738B"/>
    <w:rsid w:val="00C5538B"/>
    <w:rsid w:val="00C60282"/>
    <w:rsid w:val="00C6134C"/>
    <w:rsid w:val="00C62027"/>
    <w:rsid w:val="00C6760E"/>
    <w:rsid w:val="00C74786"/>
    <w:rsid w:val="00CA3164"/>
    <w:rsid w:val="00CB2B18"/>
    <w:rsid w:val="00CB4CD9"/>
    <w:rsid w:val="00CB7784"/>
    <w:rsid w:val="00CC47C4"/>
    <w:rsid w:val="00CC5E7E"/>
    <w:rsid w:val="00CD3C8C"/>
    <w:rsid w:val="00CD6A20"/>
    <w:rsid w:val="00CE7662"/>
    <w:rsid w:val="00CF5961"/>
    <w:rsid w:val="00CF5C9A"/>
    <w:rsid w:val="00CF7BBD"/>
    <w:rsid w:val="00D00251"/>
    <w:rsid w:val="00D00D28"/>
    <w:rsid w:val="00D02B63"/>
    <w:rsid w:val="00D11488"/>
    <w:rsid w:val="00D11F28"/>
    <w:rsid w:val="00D1461F"/>
    <w:rsid w:val="00D166D1"/>
    <w:rsid w:val="00D30ADC"/>
    <w:rsid w:val="00D37C43"/>
    <w:rsid w:val="00D528AB"/>
    <w:rsid w:val="00D5436A"/>
    <w:rsid w:val="00D60B25"/>
    <w:rsid w:val="00D7267E"/>
    <w:rsid w:val="00D866AB"/>
    <w:rsid w:val="00D9057D"/>
    <w:rsid w:val="00D97E56"/>
    <w:rsid w:val="00D97FAC"/>
    <w:rsid w:val="00DA2775"/>
    <w:rsid w:val="00DB2687"/>
    <w:rsid w:val="00DB4BC0"/>
    <w:rsid w:val="00DB4D26"/>
    <w:rsid w:val="00DB6357"/>
    <w:rsid w:val="00DC109F"/>
    <w:rsid w:val="00DC2479"/>
    <w:rsid w:val="00DD3DE7"/>
    <w:rsid w:val="00DD5528"/>
    <w:rsid w:val="00DE2AF7"/>
    <w:rsid w:val="00DE31B8"/>
    <w:rsid w:val="00DF0E76"/>
    <w:rsid w:val="00E0213B"/>
    <w:rsid w:val="00E1336C"/>
    <w:rsid w:val="00E14470"/>
    <w:rsid w:val="00E17C05"/>
    <w:rsid w:val="00E42E0E"/>
    <w:rsid w:val="00E431B4"/>
    <w:rsid w:val="00E46AC5"/>
    <w:rsid w:val="00E60226"/>
    <w:rsid w:val="00E64353"/>
    <w:rsid w:val="00E72D0B"/>
    <w:rsid w:val="00E8039C"/>
    <w:rsid w:val="00E85218"/>
    <w:rsid w:val="00E90B4A"/>
    <w:rsid w:val="00E924BB"/>
    <w:rsid w:val="00E9300D"/>
    <w:rsid w:val="00E97ACF"/>
    <w:rsid w:val="00EA251C"/>
    <w:rsid w:val="00EA335E"/>
    <w:rsid w:val="00EB0DC6"/>
    <w:rsid w:val="00EB3D9E"/>
    <w:rsid w:val="00EB4D9A"/>
    <w:rsid w:val="00EC0343"/>
    <w:rsid w:val="00EC13E2"/>
    <w:rsid w:val="00EC2D69"/>
    <w:rsid w:val="00EC30E9"/>
    <w:rsid w:val="00ED0FBE"/>
    <w:rsid w:val="00ED413A"/>
    <w:rsid w:val="00EE496C"/>
    <w:rsid w:val="00F0039C"/>
    <w:rsid w:val="00F03572"/>
    <w:rsid w:val="00F057BA"/>
    <w:rsid w:val="00F10AF5"/>
    <w:rsid w:val="00F114EB"/>
    <w:rsid w:val="00F152EF"/>
    <w:rsid w:val="00F154B5"/>
    <w:rsid w:val="00F15BB1"/>
    <w:rsid w:val="00F161F0"/>
    <w:rsid w:val="00F17AD2"/>
    <w:rsid w:val="00F268F3"/>
    <w:rsid w:val="00F3212A"/>
    <w:rsid w:val="00F364B1"/>
    <w:rsid w:val="00F36E52"/>
    <w:rsid w:val="00F41565"/>
    <w:rsid w:val="00F41AED"/>
    <w:rsid w:val="00F55A35"/>
    <w:rsid w:val="00F606D7"/>
    <w:rsid w:val="00F62A66"/>
    <w:rsid w:val="00F9495E"/>
    <w:rsid w:val="00F96446"/>
    <w:rsid w:val="00F977F5"/>
    <w:rsid w:val="00FA4131"/>
    <w:rsid w:val="00FB199B"/>
    <w:rsid w:val="00FB19D2"/>
    <w:rsid w:val="00FD3D4B"/>
    <w:rsid w:val="00FD4E29"/>
    <w:rsid w:val="00FD544A"/>
    <w:rsid w:val="00FD6A76"/>
    <w:rsid w:val="00FE17C2"/>
    <w:rsid w:val="00FE4E85"/>
    <w:rsid w:val="00FE4F03"/>
    <w:rsid w:val="00FE4FE4"/>
    <w:rsid w:val="00FF1620"/>
    <w:rsid w:val="00FF3627"/>
    <w:rsid w:val="0E9C3520"/>
    <w:rsid w:val="17294A4D"/>
    <w:rsid w:val="66AD9546"/>
    <w:rsid w:val="6DED8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A83F"/>
  <w15:docId w15:val="{69BCC73F-BBC9-4C7D-B23B-D32FBD0B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E9"/>
    <w:pPr>
      <w:spacing w:before="120" w:after="120" w:line="240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0423A1"/>
    <w:pPr>
      <w:keepNext/>
      <w:keepLines/>
      <w:numPr>
        <w:numId w:val="18"/>
      </w:numPr>
      <w:pBdr>
        <w:bottom w:val="single" w:sz="8" w:space="1" w:color="2C2F7A" w:themeColor="accent1"/>
      </w:pBdr>
      <w:spacing w:before="360" w:after="36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2C2F7A" w:themeColor="accent1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32EB"/>
    <w:pPr>
      <w:keepNext/>
      <w:keepLines/>
      <w:numPr>
        <w:ilvl w:val="1"/>
        <w:numId w:val="18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2C2F7A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4620"/>
    <w:pPr>
      <w:keepNext/>
      <w:keepLines/>
      <w:numPr>
        <w:ilvl w:val="2"/>
        <w:numId w:val="18"/>
      </w:numPr>
      <w:spacing w:before="240"/>
      <w:outlineLvl w:val="2"/>
    </w:pPr>
    <w:rPr>
      <w:rFonts w:asciiTheme="majorHAnsi" w:eastAsiaTheme="majorEastAsia" w:hAnsiTheme="majorHAnsi" w:cstheme="majorBidi"/>
      <w:b/>
      <w:bCs/>
      <w:color w:val="2C2F7A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A251C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2F7A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B02006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123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2006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617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2006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617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2006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2006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A244B"/>
    <w:pPr>
      <w:pBdr>
        <w:bottom w:val="single" w:sz="8" w:space="4" w:color="2C2F7A" w:themeColor="accent1"/>
      </w:pBdr>
      <w:spacing w:before="3000" w:after="0"/>
      <w:contextualSpacing/>
    </w:pPr>
    <w:rPr>
      <w:rFonts w:ascii="Arial" w:eastAsiaTheme="majorEastAsia" w:hAnsi="Arial" w:cstheme="majorBidi"/>
      <w:b/>
      <w:color w:val="2C2F7A" w:themeColor="accent1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A244B"/>
    <w:rPr>
      <w:rFonts w:ascii="Arial" w:eastAsiaTheme="majorEastAsia" w:hAnsi="Arial" w:cstheme="majorBidi"/>
      <w:b/>
      <w:color w:val="2C2F7A" w:themeColor="accent1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44B"/>
    <w:pPr>
      <w:numPr>
        <w:ilvl w:val="1"/>
      </w:numPr>
    </w:pPr>
    <w:rPr>
      <w:rFonts w:ascii="Arial" w:eastAsiaTheme="majorEastAsia" w:hAnsi="Arial" w:cstheme="majorBidi"/>
      <w:iCs/>
      <w:color w:val="2C2F7A" w:themeColor="accent1"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A244B"/>
    <w:rPr>
      <w:rFonts w:ascii="Arial" w:eastAsiaTheme="majorEastAsia" w:hAnsi="Arial" w:cstheme="majorBidi"/>
      <w:iCs/>
      <w:color w:val="2C2F7A" w:themeColor="accent1"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F3D"/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19223A"/>
    <w:rPr>
      <w:color w:val="2C2F7A" w:themeColor="accent1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2C2F7A" w:themeColor="accent1"/>
      <w:spacing w:val="5"/>
    </w:rPr>
  </w:style>
  <w:style w:type="paragraph" w:customStyle="1" w:styleId="Zhlav-zpat">
    <w:name w:val="Záhlaví-zápatí"/>
    <w:basedOn w:val="Normln"/>
    <w:link w:val="Zhlav-zpatChar"/>
    <w:qFormat/>
    <w:rsid w:val="00FE4F03"/>
    <w:pPr>
      <w:jc w:val="left"/>
    </w:pPr>
    <w:rPr>
      <w:color w:val="2C2F7A" w:themeColor="accent1"/>
      <w:sz w:val="20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-zpatChar">
    <w:name w:val="Záhlaví-zápatí Char"/>
    <w:basedOn w:val="Standardnpsmoodstavce"/>
    <w:link w:val="Zhlav-zpat"/>
    <w:rsid w:val="00FE4F03"/>
    <w:rPr>
      <w:rFonts w:ascii="Cambria" w:hAnsi="Cambria"/>
      <w:color w:val="2C2F7A" w:themeColor="accent1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qFormat/>
    <w:rsid w:val="009650D5"/>
    <w:pPr>
      <w:spacing w:before="0" w:after="0"/>
    </w:pPr>
  </w:style>
  <w:style w:type="character" w:customStyle="1" w:styleId="Nadpis1Char">
    <w:name w:val="Nadpis 1 Char"/>
    <w:basedOn w:val="Standardnpsmoodstavce"/>
    <w:link w:val="Nadpis1"/>
    <w:uiPriority w:val="9"/>
    <w:rsid w:val="000423A1"/>
    <w:rPr>
      <w:rFonts w:asciiTheme="majorHAnsi" w:eastAsiaTheme="majorEastAsia" w:hAnsiTheme="majorHAnsi" w:cstheme="majorBidi"/>
      <w:b/>
      <w:bCs/>
      <w:color w:val="2C2F7A" w:themeColor="accent1"/>
      <w:sz w:val="40"/>
      <w:szCs w:val="28"/>
    </w:rPr>
  </w:style>
  <w:style w:type="character" w:customStyle="1" w:styleId="AutoiChar">
    <w:name w:val="Autoři Char"/>
    <w:basedOn w:val="Standardnpsmoodstavce"/>
    <w:link w:val="Autoi"/>
    <w:rsid w:val="009650D5"/>
  </w:style>
  <w:style w:type="paragraph" w:customStyle="1" w:styleId="Obsah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sz w:val="28"/>
      <w:lang w:eastAsia="cs-CZ"/>
    </w:rPr>
  </w:style>
  <w:style w:type="character" w:customStyle="1" w:styleId="ObsahChar">
    <w:name w:val="Obsah Char"/>
    <w:basedOn w:val="PodnadpisChar"/>
    <w:link w:val="Obsah"/>
    <w:rsid w:val="00805A16"/>
    <w:rPr>
      <w:rFonts w:ascii="Calibri Light" w:eastAsiaTheme="majorEastAsia" w:hAnsi="Calibri Light" w:cstheme="majorBidi"/>
      <w:b/>
      <w:iCs/>
      <w:color w:val="21235B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13E1"/>
    <w:pPr>
      <w:spacing w:after="100"/>
    </w:pPr>
  </w:style>
  <w:style w:type="paragraph" w:styleId="Odstavecseseznamem">
    <w:name w:val="List Paragraph"/>
    <w:aliases w:val="Seznam odrážkový,Odstavec_muj,Nad,Odstavec cíl se seznamem,Odstavec se seznamem5,List Paragraph,Odrážky,Odstavec_muj1,Odstavec_muj2,Odstavec_muj3,Nad1,List Paragraph1,Odstavec_muj4,Nad2,List Paragraph2,Odstavec_muj5,Odstavec_muj6"/>
    <w:basedOn w:val="Normln"/>
    <w:link w:val="OdstavecseseznamemChar"/>
    <w:uiPriority w:val="34"/>
    <w:qFormat/>
    <w:rsid w:val="00B929BB"/>
    <w:pPr>
      <w:numPr>
        <w:numId w:val="7"/>
      </w:numPr>
      <w:ind w:left="568" w:hanging="284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A244B"/>
    <w:rPr>
      <w:rFonts w:asciiTheme="majorHAnsi" w:eastAsiaTheme="majorEastAsia" w:hAnsiTheme="majorHAnsi" w:cstheme="majorBidi"/>
      <w:b/>
      <w:bCs/>
      <w:color w:val="2C2F7A" w:themeColor="accen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A4620"/>
    <w:rPr>
      <w:rFonts w:asciiTheme="majorHAnsi" w:eastAsiaTheme="majorEastAsia" w:hAnsiTheme="majorHAnsi" w:cstheme="majorBidi"/>
      <w:b/>
      <w:bCs/>
      <w:color w:val="2C2F7A" w:themeColor="accent1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after="100"/>
      <w:ind w:left="440"/>
    </w:pPr>
  </w:style>
  <w:style w:type="paragraph" w:customStyle="1" w:styleId="Obrzek-popis">
    <w:name w:val="Obrázek - popis"/>
    <w:basedOn w:val="Normln"/>
    <w:link w:val="Obrzek-popisChar"/>
    <w:qFormat/>
    <w:rsid w:val="001E5773"/>
    <w:pPr>
      <w:spacing w:after="360"/>
    </w:pPr>
    <w:rPr>
      <w:color w:val="2C2F7A" w:themeColor="accent1"/>
    </w:rPr>
  </w:style>
  <w:style w:type="paragraph" w:customStyle="1" w:styleId="Tabulka-popis">
    <w:name w:val="Tabulka - popis"/>
    <w:basedOn w:val="Obrzek-popis"/>
    <w:link w:val="Tabulka-popisChar"/>
    <w:qFormat/>
    <w:rsid w:val="00226FA1"/>
    <w:pPr>
      <w:spacing w:before="360" w:after="120"/>
    </w:pPr>
  </w:style>
  <w:style w:type="character" w:customStyle="1" w:styleId="Obrzek-popisChar">
    <w:name w:val="Obrázek - popis Char"/>
    <w:basedOn w:val="Standardnpsmoodstavce"/>
    <w:link w:val="Obrzek-popis"/>
    <w:rsid w:val="001E5773"/>
    <w:rPr>
      <w:rFonts w:ascii="Cambria" w:hAnsi="Cambria"/>
      <w:color w:val="2C2F7A" w:themeColor="accent1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abulka-popisChar">
    <w:name w:val="Tabulka - popis Char"/>
    <w:basedOn w:val="Obrzek-popisChar"/>
    <w:link w:val="Tabulka-popis"/>
    <w:rsid w:val="00226FA1"/>
    <w:rPr>
      <w:rFonts w:ascii="Cambria" w:hAnsi="Cambria"/>
      <w:color w:val="2C2F7A" w:themeColor="accent1"/>
    </w:rPr>
  </w:style>
  <w:style w:type="paragraph" w:customStyle="1" w:styleId="Tabulka-obsah">
    <w:name w:val="Tabulka - obsah"/>
    <w:basedOn w:val="Normln"/>
    <w:link w:val="Tabulka-obsahChar"/>
    <w:qFormat/>
    <w:rsid w:val="00987833"/>
    <w:pPr>
      <w:spacing w:before="0" w:after="0"/>
      <w:jc w:val="center"/>
    </w:pPr>
    <w:rPr>
      <w:rFonts w:asciiTheme="minorHAnsi" w:hAnsiTheme="minorHAnsi"/>
      <w:bCs/>
      <w:color w:val="000000" w:themeColor="text1" w:themeShade="BF"/>
      <w:sz w:val="20"/>
    </w:rPr>
  </w:style>
  <w:style w:type="table" w:styleId="Svtlstnovnzvraznn1">
    <w:name w:val="Light Shading Accent 1"/>
    <w:basedOn w:val="Normlntabulka"/>
    <w:uiPriority w:val="60"/>
    <w:rsid w:val="006468AC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8" w:space="0" w:color="2C2F7A" w:themeColor="accent1"/>
        <w:bottom w:val="single" w:sz="8" w:space="0" w:color="2C2F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2F7A" w:themeColor="accent1"/>
          <w:left w:val="nil"/>
          <w:bottom w:val="single" w:sz="8" w:space="0" w:color="2C2F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2F7A" w:themeColor="accent1"/>
          <w:left w:val="nil"/>
          <w:bottom w:val="single" w:sz="8" w:space="0" w:color="2C2F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1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1E8" w:themeFill="accent1" w:themeFillTint="3F"/>
      </w:tcPr>
    </w:tblStylePr>
  </w:style>
  <w:style w:type="character" w:customStyle="1" w:styleId="Tabulka-obsahChar">
    <w:name w:val="Tabulka - obsah Char"/>
    <w:basedOn w:val="Standardnpsmoodstavce"/>
    <w:link w:val="Tabulka-obsah"/>
    <w:rsid w:val="00987833"/>
    <w:rPr>
      <w:bCs/>
      <w:color w:val="000000" w:themeColor="text1" w:themeShade="BF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EA251C"/>
    <w:rPr>
      <w:rFonts w:asciiTheme="majorHAnsi" w:eastAsiaTheme="majorEastAsia" w:hAnsiTheme="majorHAnsi" w:cstheme="majorBidi"/>
      <w:i/>
      <w:iCs/>
      <w:color w:val="2C2F7A" w:themeColor="accent1"/>
    </w:rPr>
  </w:style>
  <w:style w:type="table" w:styleId="Svtlseznamzvraznn1">
    <w:name w:val="Light List Accent 1"/>
    <w:basedOn w:val="Normlntabulka"/>
    <w:uiPriority w:val="61"/>
    <w:rsid w:val="007A0386"/>
    <w:pPr>
      <w:spacing w:after="0" w:line="240" w:lineRule="auto"/>
    </w:pPr>
    <w:tblPr>
      <w:tblStyleRowBandSize w:val="1"/>
      <w:tblStyleColBandSize w:val="1"/>
      <w:tblBorders>
        <w:top w:val="single" w:sz="8" w:space="0" w:color="2C2F7A" w:themeColor="accent1"/>
        <w:left w:val="single" w:sz="8" w:space="0" w:color="2C2F7A" w:themeColor="accent1"/>
        <w:bottom w:val="single" w:sz="8" w:space="0" w:color="2C2F7A" w:themeColor="accent1"/>
        <w:right w:val="single" w:sz="8" w:space="0" w:color="2C2F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2F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  <w:tblStylePr w:type="band1Horz">
      <w:tblPr/>
      <w:tcPr>
        <w:tcBorders>
          <w:top w:val="single" w:sz="8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F152EF"/>
    <w:pPr>
      <w:spacing w:after="0" w:line="240" w:lineRule="auto"/>
    </w:pPr>
    <w:tblPr>
      <w:tblStyleRowBandSize w:val="1"/>
      <w:tblStyleColBandSize w:val="1"/>
      <w:tblBorders>
        <w:top w:val="single" w:sz="8" w:space="0" w:color="4347B9" w:themeColor="accent1" w:themeTint="BF"/>
        <w:left w:val="single" w:sz="8" w:space="0" w:color="4347B9" w:themeColor="accent1" w:themeTint="BF"/>
        <w:bottom w:val="single" w:sz="8" w:space="0" w:color="4347B9" w:themeColor="accent1" w:themeTint="BF"/>
        <w:right w:val="single" w:sz="8" w:space="0" w:color="4347B9" w:themeColor="accent1" w:themeTint="BF"/>
        <w:insideH w:val="single" w:sz="8" w:space="0" w:color="4347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47B9" w:themeColor="accent1" w:themeTint="BF"/>
          <w:left w:val="single" w:sz="8" w:space="0" w:color="4347B9" w:themeColor="accent1" w:themeTint="BF"/>
          <w:bottom w:val="single" w:sz="8" w:space="0" w:color="4347B9" w:themeColor="accent1" w:themeTint="BF"/>
          <w:right w:val="single" w:sz="8" w:space="0" w:color="4347B9" w:themeColor="accent1" w:themeTint="BF"/>
          <w:insideH w:val="nil"/>
          <w:insideV w:val="nil"/>
        </w:tcBorders>
        <w:shd w:val="clear" w:color="auto" w:fill="2C2F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47B9" w:themeColor="accent1" w:themeTint="BF"/>
          <w:left w:val="single" w:sz="8" w:space="0" w:color="4347B9" w:themeColor="accent1" w:themeTint="BF"/>
          <w:bottom w:val="single" w:sz="8" w:space="0" w:color="4347B9" w:themeColor="accent1" w:themeTint="BF"/>
          <w:right w:val="single" w:sz="8" w:space="0" w:color="4347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1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1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Zdraznnintenzivn">
    <w:name w:val="Intense Emphasis"/>
    <w:basedOn w:val="Standardnpsmoodstavce"/>
    <w:uiPriority w:val="21"/>
    <w:rsid w:val="00226FA1"/>
    <w:rPr>
      <w:i/>
      <w:iCs/>
      <w:color w:val="2C2F7A" w:themeColor="accent1"/>
    </w:rPr>
  </w:style>
  <w:style w:type="numbering" w:customStyle="1" w:styleId="Aktulnseznam1">
    <w:name w:val="Aktuální seznam1"/>
    <w:uiPriority w:val="99"/>
    <w:rsid w:val="0019223A"/>
    <w:pPr>
      <w:numPr>
        <w:numId w:val="8"/>
      </w:numPr>
    </w:pPr>
  </w:style>
  <w:style w:type="table" w:styleId="Tabulkasmkou4zvraznn1">
    <w:name w:val="Grid Table 4 Accent 1"/>
    <w:basedOn w:val="Normlntabulka"/>
    <w:uiPriority w:val="49"/>
    <w:rsid w:val="000C2413"/>
    <w:pPr>
      <w:spacing w:after="0" w:line="240" w:lineRule="auto"/>
    </w:pPr>
    <w:tblPr>
      <w:tblStyleRowBandSize w:val="1"/>
      <w:tblStyleColBandSize w:val="1"/>
      <w:tblBorders>
        <w:top w:val="single" w:sz="4" w:space="0" w:color="676AC8" w:themeColor="accent1" w:themeTint="99"/>
        <w:left w:val="single" w:sz="4" w:space="0" w:color="676AC8" w:themeColor="accent1" w:themeTint="99"/>
        <w:bottom w:val="single" w:sz="4" w:space="0" w:color="676AC8" w:themeColor="accent1" w:themeTint="99"/>
        <w:right w:val="single" w:sz="4" w:space="0" w:color="676AC8" w:themeColor="accent1" w:themeTint="99"/>
        <w:insideH w:val="single" w:sz="4" w:space="0" w:color="676AC8" w:themeColor="accent1" w:themeTint="99"/>
        <w:insideV w:val="single" w:sz="4" w:space="0" w:color="676A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2F7A" w:themeColor="accent1"/>
          <w:left w:val="single" w:sz="4" w:space="0" w:color="2C2F7A" w:themeColor="accent1"/>
          <w:bottom w:val="single" w:sz="4" w:space="0" w:color="2C2F7A" w:themeColor="accent1"/>
          <w:right w:val="single" w:sz="4" w:space="0" w:color="2C2F7A" w:themeColor="accent1"/>
          <w:insideH w:val="nil"/>
          <w:insideV w:val="nil"/>
        </w:tcBorders>
        <w:shd w:val="clear" w:color="auto" w:fill="2C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C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DEC" w:themeFill="accent1" w:themeFillTint="33"/>
      </w:tcPr>
    </w:tblStylePr>
    <w:tblStylePr w:type="band1Horz">
      <w:tblPr/>
      <w:tcPr>
        <w:shd w:val="clear" w:color="auto" w:fill="CCCDEC" w:themeFill="accent1" w:themeFillTint="33"/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B02006"/>
    <w:rPr>
      <w:rFonts w:asciiTheme="majorHAnsi" w:eastAsiaTheme="majorEastAsia" w:hAnsiTheme="majorHAnsi" w:cstheme="majorBidi"/>
      <w:color w:val="2123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2006"/>
    <w:rPr>
      <w:rFonts w:asciiTheme="majorHAnsi" w:eastAsiaTheme="majorEastAsia" w:hAnsiTheme="majorHAnsi" w:cstheme="majorBidi"/>
      <w:color w:val="1617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2006"/>
    <w:rPr>
      <w:rFonts w:asciiTheme="majorHAnsi" w:eastAsiaTheme="majorEastAsia" w:hAnsiTheme="majorHAnsi" w:cstheme="majorBidi"/>
      <w:i/>
      <w:iCs/>
      <w:color w:val="1617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20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20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ulka-zhlav">
    <w:name w:val="Tabulka - záhlaví"/>
    <w:basedOn w:val="Tabulka-obsah"/>
    <w:link w:val="Tabulka-zhlavChar"/>
    <w:qFormat/>
    <w:rsid w:val="00987833"/>
    <w:rPr>
      <w:b/>
      <w:bCs w:val="0"/>
      <w:color w:val="FFFFFF" w:themeColor="background1"/>
      <w:szCs w:val="20"/>
    </w:rPr>
  </w:style>
  <w:style w:type="paragraph" w:customStyle="1" w:styleId="Seznamslovan">
    <w:name w:val="Seznam číslovaný"/>
    <w:basedOn w:val="Odstavecseseznamem"/>
    <w:link w:val="SeznamslovanChar"/>
    <w:qFormat/>
    <w:rsid w:val="006F12E9"/>
    <w:pPr>
      <w:numPr>
        <w:numId w:val="20"/>
      </w:numPr>
      <w:ind w:left="568" w:hanging="284"/>
    </w:pPr>
  </w:style>
  <w:style w:type="character" w:customStyle="1" w:styleId="Tabulka-zhlavChar">
    <w:name w:val="Tabulka - záhlaví Char"/>
    <w:basedOn w:val="Tabulka-obsahChar"/>
    <w:link w:val="Tabulka-zhlav"/>
    <w:rsid w:val="00987833"/>
    <w:rPr>
      <w:b/>
      <w:bCs w:val="0"/>
      <w:color w:val="FFFFFF" w:themeColor="background1"/>
      <w:sz w:val="20"/>
      <w:szCs w:val="20"/>
    </w:rPr>
  </w:style>
  <w:style w:type="character" w:customStyle="1" w:styleId="OdstavecseseznamemChar">
    <w:name w:val="Odstavec se seznamem Char"/>
    <w:aliases w:val="Seznam odrážkový Char,Odstavec_muj Char,Nad Char,Odstavec cíl se seznamem Char,Odstavec se seznamem5 Char,List Paragraph Char,Odrážky Char,Odstavec_muj1 Char,Odstavec_muj2 Char,Odstavec_muj3 Char,Nad1 Char,List Paragraph1 Char"/>
    <w:basedOn w:val="Standardnpsmoodstavce"/>
    <w:link w:val="Odstavecseseznamem"/>
    <w:uiPriority w:val="34"/>
    <w:rsid w:val="00B929BB"/>
    <w:rPr>
      <w:rFonts w:ascii="Cambria" w:hAnsi="Cambria"/>
    </w:rPr>
  </w:style>
  <w:style w:type="character" w:customStyle="1" w:styleId="SeznamslovanChar">
    <w:name w:val="Seznam číslovaný Char"/>
    <w:basedOn w:val="OdstavecseseznamemChar"/>
    <w:link w:val="Seznamslovan"/>
    <w:rsid w:val="006F12E9"/>
    <w:rPr>
      <w:rFonts w:ascii="Cambria" w:hAnsi="Cambria"/>
    </w:rPr>
  </w:style>
  <w:style w:type="character" w:styleId="Nevyeenzmnka">
    <w:name w:val="Unresolved Mention"/>
    <w:basedOn w:val="Standardnpsmoodstavce"/>
    <w:uiPriority w:val="99"/>
    <w:semiHidden/>
    <w:unhideWhenUsed/>
    <w:rsid w:val="00A602B4"/>
    <w:rPr>
      <w:color w:val="605E5C"/>
      <w:shd w:val="clear" w:color="auto" w:fill="E1DFDD"/>
    </w:rPr>
  </w:style>
  <w:style w:type="numbering" w:customStyle="1" w:styleId="Aktulnseznam2">
    <w:name w:val="Aktuální seznam2"/>
    <w:uiPriority w:val="99"/>
    <w:rsid w:val="00D02B63"/>
    <w:pPr>
      <w:numPr>
        <w:numId w:val="22"/>
      </w:numPr>
    </w:pPr>
  </w:style>
  <w:style w:type="character" w:styleId="Zdraznn">
    <w:name w:val="Emphasis"/>
    <w:basedOn w:val="Standardnpsmoodstavce"/>
    <w:uiPriority w:val="20"/>
    <w:qFormat/>
    <w:rsid w:val="00216CCE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218A"/>
    <w:pPr>
      <w:spacing w:before="0" w:after="0"/>
      <w:jc w:val="left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21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218A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03218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3A15E7"/>
    <w:pPr>
      <w:spacing w:after="0" w:line="240" w:lineRule="auto"/>
    </w:pPr>
    <w:rPr>
      <w:rFonts w:ascii="Cambria" w:hAnsi="Cambria"/>
    </w:rPr>
  </w:style>
  <w:style w:type="character" w:styleId="Odkaznakoment">
    <w:name w:val="annotation reference"/>
    <w:basedOn w:val="Standardnpsmoodstavce"/>
    <w:uiPriority w:val="99"/>
    <w:semiHidden/>
    <w:unhideWhenUsed/>
    <w:rsid w:val="00D5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28AB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8AB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sc.uzis.cz/res/file/projekty/tyreopatie/tyreopatie-analyticka-zprava.pdf" TargetMode="Externa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endokrinologie.cz/cs/doporuceni-pro-prevenci-casny-zachyt-a-lecbu-tyreopatii-v-tehotenstvi-novelizace-9-2023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Vlastní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C2F7A"/>
      </a:accent1>
      <a:accent2>
        <a:srgbClr val="93A8CD"/>
      </a:accent2>
      <a:accent3>
        <a:srgbClr val="DA2B47"/>
      </a:accent3>
      <a:accent4>
        <a:srgbClr val="BBC747"/>
      </a:accent4>
      <a:accent5>
        <a:srgbClr val="7B3C8E"/>
      </a:accent5>
      <a:accent6>
        <a:srgbClr val="E6B03C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B6A539-B0F5-4163-BF63-16677C3D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4195</Words>
  <Characters>24756</Characters>
  <Application>Microsoft Office Word</Application>
  <DocSecurity>0</DocSecurity>
  <Lines>206</Lines>
  <Paragraphs>57</Paragraphs>
  <ScaleCrop>false</ScaleCrop>
  <Company/>
  <LinksUpToDate>false</LinksUpToDate>
  <CharactersWithSpaces>28894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</dc:creator>
  <cp:lastModifiedBy>Brlica Heideová Petra, Mgr.</cp:lastModifiedBy>
  <cp:revision>7</cp:revision>
  <cp:lastPrinted>2018-06-05T11:05:00Z</cp:lastPrinted>
  <dcterms:created xsi:type="dcterms:W3CDTF">2025-11-06T14:11:00Z</dcterms:created>
  <dcterms:modified xsi:type="dcterms:W3CDTF">2026-02-10T11:07:00Z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2025-01-24T12:54:48Z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91850cfd-f40d-477b-9abc-2e3b297999bc</vt:lpwstr>
  </property>
  <property fmtid="{D5CDD505-2E9C-101B-9397-08002B2CF9AE}" pid="8" name="MSIP_Label_2063cd7f-2d21-486a-9f29-9c1683fdd175_ContentBits">
    <vt:lpwstr>0</vt:lpwstr>
  </property>
</Properties>
</file>