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5E" w:rsidRPr="00CF02D3" w:rsidRDefault="0074215E" w:rsidP="0074215E">
      <w:pPr>
        <w:spacing w:after="200" w:line="276" w:lineRule="auto"/>
        <w:rPr>
          <w:rFonts w:ascii="Arial" w:eastAsia="Calibri" w:hAnsi="Arial"/>
          <w:b/>
          <w:sz w:val="32"/>
          <w:szCs w:val="32"/>
          <w:lang w:eastAsia="en-US"/>
        </w:rPr>
      </w:pPr>
      <w:r w:rsidRPr="00CF02D3">
        <w:rPr>
          <w:rFonts w:ascii="Arial" w:eastAsia="Calibri" w:hAnsi="Arial"/>
          <w:b/>
          <w:sz w:val="32"/>
          <w:szCs w:val="32"/>
          <w:lang w:eastAsia="en-US"/>
        </w:rPr>
        <w:t xml:space="preserve">Zápis z jednání </w:t>
      </w:r>
      <w:r w:rsidR="00D216FA" w:rsidRPr="00D216FA">
        <w:rPr>
          <w:rFonts w:ascii="Arial" w:eastAsia="Calibri" w:hAnsi="Arial"/>
          <w:b/>
          <w:sz w:val="32"/>
          <w:szCs w:val="32"/>
          <w:lang w:eastAsia="en-US"/>
        </w:rPr>
        <w:t>Komise pro stanovení kvalitativních kritérií u následné lůžkové péče</w:t>
      </w:r>
    </w:p>
    <w:p w:rsidR="0074215E" w:rsidRPr="0074215E" w:rsidRDefault="0074215E" w:rsidP="0074215E">
      <w:pPr>
        <w:spacing w:after="200" w:line="276" w:lineRule="auto"/>
        <w:jc w:val="both"/>
        <w:rPr>
          <w:rFonts w:ascii="Arial" w:eastAsia="Calibri" w:hAnsi="Arial" w:cs="Arial"/>
          <w:sz w:val="22"/>
          <w:szCs w:val="22"/>
          <w:lang w:eastAsia="en-US"/>
        </w:rPr>
      </w:pPr>
      <w:r w:rsidRPr="0074215E">
        <w:rPr>
          <w:rFonts w:ascii="Arial" w:eastAsia="Calibri" w:hAnsi="Arial" w:cs="Arial"/>
          <w:sz w:val="22"/>
          <w:szCs w:val="22"/>
          <w:lang w:eastAsia="en-US"/>
        </w:rPr>
        <w:t>Datum:</w:t>
      </w:r>
      <w:r w:rsidRPr="0074215E">
        <w:rPr>
          <w:rFonts w:ascii="Arial" w:eastAsia="Calibri" w:hAnsi="Arial" w:cs="Arial"/>
          <w:sz w:val="22"/>
          <w:szCs w:val="22"/>
          <w:lang w:eastAsia="en-US"/>
        </w:rPr>
        <w:tab/>
      </w:r>
      <w:r w:rsidR="004B676C">
        <w:rPr>
          <w:rFonts w:ascii="Arial" w:eastAsia="Calibri" w:hAnsi="Arial" w:cs="Arial"/>
          <w:sz w:val="22"/>
          <w:szCs w:val="22"/>
          <w:lang w:eastAsia="en-US"/>
        </w:rPr>
        <w:t>28</w:t>
      </w:r>
      <w:r w:rsidR="009B31AA">
        <w:rPr>
          <w:rFonts w:ascii="Arial" w:eastAsia="Calibri" w:hAnsi="Arial" w:cs="Arial"/>
          <w:sz w:val="22"/>
          <w:szCs w:val="22"/>
          <w:lang w:eastAsia="en-US"/>
        </w:rPr>
        <w:t xml:space="preserve">. </w:t>
      </w:r>
      <w:r w:rsidR="00BD36AE">
        <w:rPr>
          <w:rFonts w:ascii="Arial" w:eastAsia="Calibri" w:hAnsi="Arial" w:cs="Arial"/>
          <w:sz w:val="22"/>
          <w:szCs w:val="22"/>
          <w:lang w:eastAsia="en-US"/>
        </w:rPr>
        <w:t>1</w:t>
      </w:r>
      <w:r w:rsidR="00314D36">
        <w:rPr>
          <w:rFonts w:ascii="Arial" w:eastAsia="Calibri" w:hAnsi="Arial" w:cs="Arial"/>
          <w:sz w:val="22"/>
          <w:szCs w:val="22"/>
          <w:lang w:eastAsia="en-US"/>
        </w:rPr>
        <w:t>. 2019</w:t>
      </w:r>
      <w:r w:rsidR="006A0FA3">
        <w:rPr>
          <w:rFonts w:ascii="Arial" w:eastAsia="Calibri" w:hAnsi="Arial" w:cs="Arial"/>
          <w:sz w:val="22"/>
          <w:szCs w:val="22"/>
          <w:lang w:eastAsia="en-US"/>
        </w:rPr>
        <w:t xml:space="preserve"> od 1</w:t>
      </w:r>
      <w:r w:rsidR="001A0B8F">
        <w:rPr>
          <w:rFonts w:ascii="Arial" w:eastAsia="Calibri" w:hAnsi="Arial" w:cs="Arial"/>
          <w:sz w:val="22"/>
          <w:szCs w:val="22"/>
          <w:lang w:eastAsia="en-US"/>
        </w:rPr>
        <w:t>4:30</w:t>
      </w:r>
      <w:r w:rsidRPr="0074215E">
        <w:rPr>
          <w:rFonts w:ascii="Arial" w:eastAsia="Calibri" w:hAnsi="Arial" w:cs="Arial"/>
          <w:sz w:val="22"/>
          <w:szCs w:val="22"/>
          <w:lang w:eastAsia="en-US"/>
        </w:rPr>
        <w:t xml:space="preserve"> hodin</w:t>
      </w:r>
    </w:p>
    <w:p w:rsidR="0074215E" w:rsidRPr="0074215E" w:rsidRDefault="0074215E" w:rsidP="0074215E">
      <w:pPr>
        <w:spacing w:after="200" w:line="276" w:lineRule="auto"/>
        <w:ind w:left="1410" w:hanging="1410"/>
        <w:jc w:val="both"/>
        <w:rPr>
          <w:rFonts w:ascii="Arial" w:eastAsia="Calibri" w:hAnsi="Arial" w:cs="Arial"/>
          <w:sz w:val="22"/>
          <w:szCs w:val="22"/>
          <w:lang w:eastAsia="en-US"/>
        </w:rPr>
      </w:pPr>
      <w:r w:rsidRPr="0074215E">
        <w:rPr>
          <w:rFonts w:ascii="Arial" w:eastAsia="Calibri" w:hAnsi="Arial" w:cs="Arial"/>
          <w:sz w:val="22"/>
          <w:szCs w:val="22"/>
          <w:lang w:eastAsia="en-US"/>
        </w:rPr>
        <w:t>Místo:</w:t>
      </w:r>
      <w:r w:rsidRPr="0074215E">
        <w:rPr>
          <w:rFonts w:ascii="Arial" w:eastAsia="Calibri" w:hAnsi="Arial" w:cs="Arial"/>
          <w:sz w:val="22"/>
          <w:szCs w:val="22"/>
          <w:lang w:eastAsia="en-US"/>
        </w:rPr>
        <w:tab/>
      </w:r>
      <w:r w:rsidRPr="0074215E">
        <w:rPr>
          <w:rFonts w:ascii="Arial" w:eastAsia="Calibri" w:hAnsi="Arial" w:cs="Arial"/>
          <w:sz w:val="22"/>
          <w:szCs w:val="22"/>
          <w:lang w:eastAsia="en-US"/>
        </w:rPr>
        <w:tab/>
        <w:t>MZČR, Palackého nám</w:t>
      </w:r>
      <w:r w:rsidR="002B5D86">
        <w:rPr>
          <w:rFonts w:ascii="Arial" w:eastAsia="Calibri" w:hAnsi="Arial" w:cs="Arial"/>
          <w:sz w:val="22"/>
          <w:szCs w:val="22"/>
          <w:lang w:eastAsia="en-US"/>
        </w:rPr>
        <w:t>.</w:t>
      </w:r>
      <w:r w:rsidRPr="0074215E">
        <w:rPr>
          <w:rFonts w:ascii="Arial" w:eastAsia="Calibri" w:hAnsi="Arial" w:cs="Arial"/>
          <w:sz w:val="22"/>
          <w:szCs w:val="22"/>
          <w:lang w:eastAsia="en-US"/>
        </w:rPr>
        <w:t xml:space="preserve"> 4, Praha 2, místnost č. </w:t>
      </w:r>
      <w:r w:rsidR="00314D36">
        <w:rPr>
          <w:rFonts w:ascii="Arial" w:eastAsia="Calibri" w:hAnsi="Arial" w:cs="Arial"/>
          <w:sz w:val="22"/>
          <w:szCs w:val="22"/>
          <w:lang w:eastAsia="en-US"/>
        </w:rPr>
        <w:t>223a</w:t>
      </w:r>
    </w:p>
    <w:p w:rsidR="00DB6917" w:rsidRPr="0074215E" w:rsidRDefault="008C6ED8" w:rsidP="00DB6917">
      <w:pPr>
        <w:pBdr>
          <w:bottom w:val="single" w:sz="6" w:space="1" w:color="auto"/>
        </w:pBdr>
        <w:spacing w:after="200" w:line="276" w:lineRule="auto"/>
        <w:ind w:left="1410" w:hanging="1410"/>
        <w:jc w:val="both"/>
        <w:rPr>
          <w:rFonts w:ascii="Arial" w:eastAsia="Calibri" w:hAnsi="Arial" w:cs="Arial"/>
          <w:sz w:val="22"/>
          <w:szCs w:val="22"/>
          <w:lang w:eastAsia="en-US"/>
        </w:rPr>
      </w:pPr>
      <w:r>
        <w:rPr>
          <w:rFonts w:ascii="Arial" w:eastAsia="Calibri" w:hAnsi="Arial" w:cs="Arial"/>
          <w:sz w:val="22"/>
          <w:szCs w:val="22"/>
          <w:lang w:eastAsia="en-US"/>
        </w:rPr>
        <w:t>Přítomni:</w:t>
      </w:r>
      <w:r>
        <w:rPr>
          <w:rFonts w:ascii="Arial" w:eastAsia="Calibri" w:hAnsi="Arial" w:cs="Arial"/>
          <w:sz w:val="22"/>
          <w:szCs w:val="22"/>
          <w:lang w:eastAsia="en-US"/>
        </w:rPr>
        <w:tab/>
        <w:t>viz prezenční listina</w:t>
      </w:r>
      <w:r w:rsidR="0074215E" w:rsidRPr="0074215E">
        <w:rPr>
          <w:rFonts w:ascii="Arial" w:eastAsia="Calibri" w:hAnsi="Arial" w:cs="Arial"/>
          <w:sz w:val="22"/>
          <w:szCs w:val="22"/>
          <w:lang w:eastAsia="en-US"/>
        </w:rPr>
        <w:t xml:space="preserve"> </w:t>
      </w:r>
      <w:r w:rsidR="00BD36AE">
        <w:rPr>
          <w:rFonts w:ascii="Arial" w:eastAsia="Calibri" w:hAnsi="Arial" w:cs="Arial"/>
          <w:sz w:val="22"/>
          <w:szCs w:val="22"/>
          <w:lang w:eastAsia="en-US"/>
        </w:rPr>
        <w:t>–</w:t>
      </w:r>
      <w:r w:rsidR="0074215E" w:rsidRPr="0074215E">
        <w:rPr>
          <w:rFonts w:ascii="Arial" w:eastAsia="Calibri" w:hAnsi="Arial" w:cs="Arial"/>
          <w:sz w:val="22"/>
          <w:szCs w:val="22"/>
          <w:lang w:eastAsia="en-US"/>
        </w:rPr>
        <w:t xml:space="preserve"> </w:t>
      </w:r>
      <w:r w:rsidR="00BD36AE">
        <w:rPr>
          <w:rFonts w:ascii="Arial" w:eastAsia="Calibri" w:hAnsi="Arial" w:cs="Arial"/>
          <w:sz w:val="22"/>
          <w:szCs w:val="22"/>
          <w:lang w:eastAsia="en-US"/>
        </w:rPr>
        <w:t>členové Komise pro stan</w:t>
      </w:r>
      <w:r>
        <w:rPr>
          <w:rFonts w:ascii="Arial" w:eastAsia="Calibri" w:hAnsi="Arial" w:cs="Arial"/>
          <w:sz w:val="22"/>
          <w:szCs w:val="22"/>
          <w:lang w:eastAsia="en-US"/>
        </w:rPr>
        <w:t>ovení kvalitativních kritérií u </w:t>
      </w:r>
      <w:r w:rsidR="00BD36AE">
        <w:rPr>
          <w:rFonts w:ascii="Arial" w:eastAsia="Calibri" w:hAnsi="Arial" w:cs="Arial"/>
          <w:sz w:val="22"/>
          <w:szCs w:val="22"/>
          <w:lang w:eastAsia="en-US"/>
        </w:rPr>
        <w:t>následné lůžkové péče</w:t>
      </w:r>
    </w:p>
    <w:p w:rsidR="00E40F3A" w:rsidRDefault="00E40F3A" w:rsidP="0074215E">
      <w:pPr>
        <w:spacing w:after="200" w:line="276" w:lineRule="auto"/>
        <w:rPr>
          <w:rFonts w:ascii="Arial" w:eastAsia="Calibri" w:hAnsi="Arial"/>
          <w:b/>
          <w:sz w:val="22"/>
          <w:szCs w:val="22"/>
          <w:lang w:eastAsia="en-US"/>
        </w:rPr>
      </w:pPr>
    </w:p>
    <w:p w:rsidR="0074215E" w:rsidRPr="0074215E" w:rsidRDefault="0074215E" w:rsidP="0074215E">
      <w:pPr>
        <w:spacing w:after="200" w:line="276" w:lineRule="auto"/>
        <w:rPr>
          <w:rFonts w:ascii="Arial" w:eastAsia="Calibri" w:hAnsi="Arial"/>
          <w:b/>
          <w:sz w:val="22"/>
          <w:szCs w:val="22"/>
          <w:lang w:eastAsia="en-US"/>
        </w:rPr>
      </w:pPr>
      <w:r w:rsidRPr="0074215E">
        <w:rPr>
          <w:rFonts w:ascii="Arial" w:eastAsia="Calibri" w:hAnsi="Arial"/>
          <w:b/>
          <w:sz w:val="22"/>
          <w:szCs w:val="22"/>
          <w:lang w:eastAsia="en-US"/>
        </w:rPr>
        <w:t xml:space="preserve">Průběh jednání: </w:t>
      </w:r>
    </w:p>
    <w:p w:rsidR="003B3C8B" w:rsidRDefault="004305F0" w:rsidP="00C303E6">
      <w:pPr>
        <w:adjustRightInd w:val="0"/>
        <w:snapToGrid w:val="0"/>
        <w:spacing w:line="360" w:lineRule="auto"/>
        <w:jc w:val="both"/>
        <w:rPr>
          <w:rFonts w:ascii="Arial" w:eastAsia="Calibri" w:hAnsi="Arial"/>
          <w:sz w:val="22"/>
          <w:szCs w:val="22"/>
          <w:lang w:eastAsia="en-US"/>
        </w:rPr>
      </w:pPr>
      <w:r>
        <w:rPr>
          <w:rFonts w:ascii="Arial" w:eastAsia="Calibri" w:hAnsi="Arial"/>
          <w:sz w:val="22"/>
          <w:szCs w:val="22"/>
          <w:lang w:eastAsia="en-US"/>
        </w:rPr>
        <w:t>J</w:t>
      </w:r>
      <w:r w:rsidR="00D216FA">
        <w:rPr>
          <w:rFonts w:ascii="Arial" w:eastAsia="Calibri" w:hAnsi="Arial"/>
          <w:sz w:val="22"/>
          <w:szCs w:val="22"/>
          <w:lang w:eastAsia="en-US"/>
        </w:rPr>
        <w:t>ednání zahájila Mgr</w:t>
      </w:r>
      <w:r w:rsidR="00DB6917">
        <w:rPr>
          <w:rFonts w:ascii="Arial" w:eastAsia="Calibri" w:hAnsi="Arial"/>
          <w:sz w:val="22"/>
          <w:szCs w:val="22"/>
          <w:lang w:eastAsia="en-US"/>
        </w:rPr>
        <w:t xml:space="preserve">. </w:t>
      </w:r>
      <w:r>
        <w:rPr>
          <w:rFonts w:ascii="Arial" w:eastAsia="Calibri" w:hAnsi="Arial"/>
          <w:sz w:val="22"/>
          <w:szCs w:val="22"/>
          <w:lang w:eastAsia="en-US"/>
        </w:rPr>
        <w:t>Pavlína Ž</w:t>
      </w:r>
      <w:r w:rsidR="00D216FA">
        <w:rPr>
          <w:rFonts w:ascii="Arial" w:eastAsia="Calibri" w:hAnsi="Arial"/>
          <w:sz w:val="22"/>
          <w:szCs w:val="22"/>
          <w:lang w:eastAsia="en-US"/>
        </w:rPr>
        <w:t>ílová</w:t>
      </w:r>
      <w:r w:rsidR="00DB6917">
        <w:rPr>
          <w:rFonts w:ascii="Arial" w:eastAsia="Calibri" w:hAnsi="Arial"/>
          <w:sz w:val="22"/>
          <w:szCs w:val="22"/>
          <w:lang w:eastAsia="en-US"/>
        </w:rPr>
        <w:t xml:space="preserve">, </w:t>
      </w:r>
      <w:r>
        <w:rPr>
          <w:rFonts w:ascii="Arial" w:eastAsia="Calibri" w:hAnsi="Arial"/>
          <w:sz w:val="22"/>
          <w:szCs w:val="22"/>
          <w:lang w:eastAsia="en-US"/>
        </w:rPr>
        <w:t>pověřena řízením odboru regulace cen a úhrad</w:t>
      </w:r>
      <w:r w:rsidR="00DB6917">
        <w:rPr>
          <w:rFonts w:ascii="Arial" w:eastAsia="Calibri" w:hAnsi="Arial"/>
          <w:sz w:val="22"/>
          <w:szCs w:val="22"/>
          <w:lang w:eastAsia="en-US"/>
        </w:rPr>
        <w:t xml:space="preserve">, která </w:t>
      </w:r>
      <w:r w:rsidR="0074215E" w:rsidRPr="0074215E">
        <w:rPr>
          <w:rFonts w:ascii="Arial" w:eastAsia="Calibri" w:hAnsi="Arial"/>
          <w:sz w:val="22"/>
          <w:szCs w:val="22"/>
          <w:lang w:eastAsia="en-US"/>
        </w:rPr>
        <w:t xml:space="preserve">přivítala přítomné </w:t>
      </w:r>
      <w:r w:rsidR="00D216FA">
        <w:rPr>
          <w:rFonts w:ascii="Arial" w:eastAsia="Calibri" w:hAnsi="Arial"/>
          <w:sz w:val="22"/>
          <w:szCs w:val="22"/>
          <w:lang w:eastAsia="en-US"/>
        </w:rPr>
        <w:t>členy komise</w:t>
      </w:r>
      <w:r>
        <w:rPr>
          <w:rFonts w:ascii="Arial" w:eastAsia="Calibri" w:hAnsi="Arial"/>
          <w:sz w:val="22"/>
          <w:szCs w:val="22"/>
          <w:lang w:eastAsia="en-US"/>
        </w:rPr>
        <w:t xml:space="preserve"> a </w:t>
      </w:r>
      <w:r w:rsidR="00DB6917">
        <w:rPr>
          <w:rFonts w:ascii="Arial" w:eastAsia="Calibri" w:hAnsi="Arial"/>
          <w:sz w:val="22"/>
          <w:szCs w:val="22"/>
          <w:lang w:eastAsia="en-US"/>
        </w:rPr>
        <w:t xml:space="preserve">zahájila diskusi </w:t>
      </w:r>
      <w:r w:rsidR="007F65EC">
        <w:rPr>
          <w:rFonts w:ascii="Arial" w:eastAsia="Calibri" w:hAnsi="Arial"/>
          <w:sz w:val="22"/>
          <w:szCs w:val="22"/>
          <w:lang w:eastAsia="en-US"/>
        </w:rPr>
        <w:t>k</w:t>
      </w:r>
      <w:r w:rsidR="00A2142A">
        <w:rPr>
          <w:rFonts w:ascii="Arial" w:eastAsia="Calibri" w:hAnsi="Arial"/>
          <w:sz w:val="22"/>
          <w:szCs w:val="22"/>
          <w:lang w:eastAsia="en-US"/>
        </w:rPr>
        <w:t xml:space="preserve"> návrhu (viz příloha) </w:t>
      </w:r>
      <w:r w:rsidR="007F65EC">
        <w:rPr>
          <w:rFonts w:ascii="Arial" w:eastAsia="Calibri" w:hAnsi="Arial"/>
          <w:sz w:val="22"/>
          <w:szCs w:val="22"/>
          <w:lang w:eastAsia="en-US"/>
        </w:rPr>
        <w:t xml:space="preserve">zaslanému </w:t>
      </w:r>
      <w:r>
        <w:rPr>
          <w:rFonts w:ascii="Arial" w:eastAsia="Calibri" w:hAnsi="Arial"/>
          <w:sz w:val="22"/>
          <w:szCs w:val="22"/>
          <w:lang w:eastAsia="en-US"/>
        </w:rPr>
        <w:t>Ing. </w:t>
      </w:r>
      <w:proofErr w:type="spellStart"/>
      <w:r>
        <w:rPr>
          <w:rFonts w:ascii="Arial" w:eastAsia="Calibri" w:hAnsi="Arial"/>
          <w:sz w:val="22"/>
          <w:szCs w:val="22"/>
          <w:lang w:eastAsia="en-US"/>
        </w:rPr>
        <w:t>Čarvešem</w:t>
      </w:r>
      <w:proofErr w:type="spellEnd"/>
      <w:r w:rsidR="00DB6917">
        <w:rPr>
          <w:rFonts w:ascii="Arial" w:eastAsia="Calibri" w:hAnsi="Arial"/>
          <w:sz w:val="22"/>
          <w:szCs w:val="22"/>
          <w:lang w:eastAsia="en-US"/>
        </w:rPr>
        <w:t>.</w:t>
      </w:r>
    </w:p>
    <w:p w:rsidR="009D1D08" w:rsidRDefault="009D1D08" w:rsidP="00C303E6">
      <w:pPr>
        <w:adjustRightInd w:val="0"/>
        <w:snapToGrid w:val="0"/>
        <w:spacing w:line="360" w:lineRule="auto"/>
        <w:jc w:val="both"/>
        <w:rPr>
          <w:rFonts w:ascii="Arial" w:eastAsia="Calibri" w:hAnsi="Arial"/>
          <w:sz w:val="22"/>
          <w:szCs w:val="22"/>
          <w:lang w:eastAsia="en-US"/>
        </w:rPr>
      </w:pPr>
      <w:r w:rsidRPr="009D1D08">
        <w:rPr>
          <w:rFonts w:ascii="Arial" w:eastAsia="Calibri" w:hAnsi="Arial"/>
          <w:sz w:val="22"/>
          <w:szCs w:val="22"/>
          <w:lang w:eastAsia="en-US"/>
        </w:rPr>
        <w:t>Zástupce AČMN P. Fiala vyjádřil stanovisko, že jakémukoliv budoucímu stanovení kvalitativních kritérií v následné péči musí předcházet řádná úhrada už stávajících nákladů. Právě proběhlá nákladová analýza v následné péči mezi 61 po</w:t>
      </w:r>
      <w:bookmarkStart w:id="0" w:name="_GoBack"/>
      <w:bookmarkEnd w:id="0"/>
      <w:r w:rsidRPr="009D1D08">
        <w:rPr>
          <w:rFonts w:ascii="Arial" w:eastAsia="Calibri" w:hAnsi="Arial"/>
          <w:sz w:val="22"/>
          <w:szCs w:val="22"/>
          <w:lang w:eastAsia="en-US"/>
        </w:rPr>
        <w:t>skytovali v AČMN a AN ČR ukazuje, že prakticky všechny segmen</w:t>
      </w:r>
      <w:r>
        <w:rPr>
          <w:rFonts w:ascii="Arial" w:eastAsia="Calibri" w:hAnsi="Arial"/>
          <w:sz w:val="22"/>
          <w:szCs w:val="22"/>
          <w:lang w:eastAsia="en-US"/>
        </w:rPr>
        <w:t>t</w:t>
      </w:r>
      <w:r w:rsidRPr="009D1D08">
        <w:rPr>
          <w:rFonts w:ascii="Arial" w:eastAsia="Calibri" w:hAnsi="Arial"/>
          <w:sz w:val="22"/>
          <w:szCs w:val="22"/>
          <w:lang w:eastAsia="en-US"/>
        </w:rPr>
        <w:t>y následné péče vykazují provozní ztráty, neboť s</w:t>
      </w:r>
      <w:r>
        <w:rPr>
          <w:rFonts w:ascii="Arial" w:eastAsia="Calibri" w:hAnsi="Arial"/>
          <w:sz w:val="22"/>
          <w:szCs w:val="22"/>
          <w:lang w:eastAsia="en-US"/>
        </w:rPr>
        <w:t>távající úhrady pojišťoven nepo</w:t>
      </w:r>
      <w:r w:rsidRPr="009D1D08">
        <w:rPr>
          <w:rFonts w:ascii="Arial" w:eastAsia="Calibri" w:hAnsi="Arial"/>
          <w:sz w:val="22"/>
          <w:szCs w:val="22"/>
          <w:lang w:eastAsia="en-US"/>
        </w:rPr>
        <w:t>k</w:t>
      </w:r>
      <w:r>
        <w:rPr>
          <w:rFonts w:ascii="Arial" w:eastAsia="Calibri" w:hAnsi="Arial"/>
          <w:sz w:val="22"/>
          <w:szCs w:val="22"/>
          <w:lang w:eastAsia="en-US"/>
        </w:rPr>
        <w:t>r</w:t>
      </w:r>
      <w:r w:rsidRPr="009D1D08">
        <w:rPr>
          <w:rFonts w:ascii="Arial" w:eastAsia="Calibri" w:hAnsi="Arial"/>
          <w:sz w:val="22"/>
          <w:szCs w:val="22"/>
          <w:lang w:eastAsia="en-US"/>
        </w:rPr>
        <w:t>ývají jejich náklady.</w:t>
      </w:r>
    </w:p>
    <w:p w:rsidR="004305F0" w:rsidRDefault="004305F0" w:rsidP="00C303E6">
      <w:pPr>
        <w:adjustRightInd w:val="0"/>
        <w:snapToGrid w:val="0"/>
        <w:spacing w:line="360" w:lineRule="auto"/>
        <w:jc w:val="both"/>
        <w:rPr>
          <w:rFonts w:ascii="Arial" w:eastAsia="Calibri" w:hAnsi="Arial"/>
          <w:sz w:val="22"/>
          <w:szCs w:val="22"/>
          <w:lang w:eastAsia="en-US"/>
        </w:rPr>
      </w:pPr>
      <w:r>
        <w:rPr>
          <w:rFonts w:ascii="Arial" w:eastAsia="Calibri" w:hAnsi="Arial"/>
          <w:sz w:val="22"/>
          <w:szCs w:val="22"/>
          <w:lang w:eastAsia="en-US"/>
        </w:rPr>
        <w:t xml:space="preserve">Ing. Čarvaš zaslal k diskusi pracovní verzi návrhu kvalitativních kritérií v následné péči, který předpokládal realizaci posuzování kvality v terénu u poskytovatele zdravotních služeb. </w:t>
      </w:r>
      <w:r w:rsidR="00C303E6">
        <w:rPr>
          <w:rFonts w:ascii="Arial" w:eastAsia="Calibri" w:hAnsi="Arial"/>
          <w:sz w:val="22"/>
          <w:szCs w:val="22"/>
          <w:lang w:eastAsia="en-US"/>
        </w:rPr>
        <w:t xml:space="preserve">Jedná se o podrobnější rozšíření materiálu předloženému na předchozí jednání MUDr. Volejníkem a </w:t>
      </w:r>
      <w:r w:rsidR="00C303E6" w:rsidRPr="00C303E6">
        <w:rPr>
          <w:rFonts w:ascii="Arial" w:eastAsia="Calibri" w:hAnsi="Arial"/>
          <w:sz w:val="22"/>
          <w:szCs w:val="22"/>
          <w:lang w:eastAsia="en-US"/>
        </w:rPr>
        <w:t>MUDr. Polzerovou.</w:t>
      </w:r>
      <w:r w:rsidR="00C303E6">
        <w:rPr>
          <w:rFonts w:ascii="Arial" w:eastAsia="Calibri" w:hAnsi="Arial"/>
          <w:sz w:val="22"/>
          <w:szCs w:val="22"/>
          <w:lang w:eastAsia="en-US"/>
        </w:rPr>
        <w:t xml:space="preserve"> </w:t>
      </w:r>
      <w:r>
        <w:rPr>
          <w:rFonts w:ascii="Arial" w:eastAsia="Calibri" w:hAnsi="Arial"/>
          <w:sz w:val="22"/>
          <w:szCs w:val="22"/>
          <w:lang w:eastAsia="en-US"/>
        </w:rPr>
        <w:t>Ing. Čarvaš připravil dotazník, na základě kterého by</w:t>
      </w:r>
      <w:r w:rsidR="00C303E6">
        <w:rPr>
          <w:rFonts w:ascii="Arial" w:eastAsia="Calibri" w:hAnsi="Arial"/>
          <w:sz w:val="22"/>
          <w:szCs w:val="22"/>
          <w:lang w:eastAsia="en-US"/>
        </w:rPr>
        <w:t xml:space="preserve"> jednotliví poskytovatelé byli při místním šetření zaměstnancem pojišťovny </w:t>
      </w:r>
      <w:r>
        <w:rPr>
          <w:rFonts w:ascii="Arial" w:eastAsia="Calibri" w:hAnsi="Arial"/>
          <w:sz w:val="22"/>
          <w:szCs w:val="22"/>
          <w:lang w:eastAsia="en-US"/>
        </w:rPr>
        <w:t xml:space="preserve">bodování a následně by byla stanovena příslušná bonifikace. V minulosti (cca 5 let zpětně) bylo podobné dotazníkové šetření realizováno na VZP, výsledky šetření však již nebyly </w:t>
      </w:r>
      <w:r w:rsidR="00C303E6">
        <w:rPr>
          <w:rFonts w:ascii="Arial" w:eastAsia="Calibri" w:hAnsi="Arial"/>
          <w:sz w:val="22"/>
          <w:szCs w:val="22"/>
          <w:lang w:eastAsia="en-US"/>
        </w:rPr>
        <w:t xml:space="preserve">účastníkům dány </w:t>
      </w:r>
      <w:r>
        <w:rPr>
          <w:rFonts w:ascii="Arial" w:eastAsia="Calibri" w:hAnsi="Arial"/>
          <w:sz w:val="22"/>
          <w:szCs w:val="22"/>
          <w:lang w:eastAsia="en-US"/>
        </w:rPr>
        <w:t>k dispozici.</w:t>
      </w:r>
    </w:p>
    <w:p w:rsidR="004305F0" w:rsidRDefault="004305F0" w:rsidP="00C303E6">
      <w:pPr>
        <w:adjustRightInd w:val="0"/>
        <w:snapToGrid w:val="0"/>
        <w:spacing w:line="360" w:lineRule="auto"/>
        <w:jc w:val="both"/>
        <w:rPr>
          <w:rFonts w:ascii="Arial" w:eastAsia="Calibri" w:hAnsi="Arial"/>
          <w:sz w:val="22"/>
          <w:szCs w:val="22"/>
          <w:lang w:eastAsia="en-US"/>
        </w:rPr>
      </w:pPr>
      <w:r>
        <w:rPr>
          <w:rFonts w:ascii="Arial" w:eastAsia="Calibri" w:hAnsi="Arial"/>
          <w:sz w:val="22"/>
          <w:szCs w:val="22"/>
          <w:lang w:eastAsia="en-US"/>
        </w:rPr>
        <w:t>Na základě diskuse vyplynulo, že by bylo možné některé dostatečně měřitelné body navrženého dotazníku lépe vyspecifikovat a konkretizovat a bylo vybráno</w:t>
      </w:r>
      <w:r w:rsidRPr="00FE778F">
        <w:rPr>
          <w:rFonts w:ascii="Arial" w:eastAsia="Calibri" w:hAnsi="Arial"/>
          <w:sz w:val="22"/>
          <w:szCs w:val="22"/>
          <w:lang w:eastAsia="en-US"/>
        </w:rPr>
        <w:t xml:space="preserve"> </w:t>
      </w:r>
      <w:r w:rsidR="00FE778F" w:rsidRPr="00FE778F">
        <w:rPr>
          <w:rFonts w:ascii="Arial" w:eastAsia="Calibri" w:hAnsi="Arial"/>
          <w:sz w:val="22"/>
          <w:szCs w:val="22"/>
          <w:lang w:eastAsia="en-US"/>
        </w:rPr>
        <w:t>8</w:t>
      </w:r>
      <w:r>
        <w:rPr>
          <w:rFonts w:ascii="Arial" w:eastAsia="Calibri" w:hAnsi="Arial"/>
          <w:b/>
          <w:sz w:val="22"/>
          <w:szCs w:val="22"/>
          <w:lang w:eastAsia="en-US"/>
        </w:rPr>
        <w:t xml:space="preserve"> </w:t>
      </w:r>
      <w:r>
        <w:rPr>
          <w:rFonts w:ascii="Arial" w:eastAsia="Calibri" w:hAnsi="Arial"/>
          <w:sz w:val="22"/>
          <w:szCs w:val="22"/>
          <w:lang w:eastAsia="en-US"/>
        </w:rPr>
        <w:t xml:space="preserve">hodnocených ukazatelů z jednotlivých okruhů – věcného vybavení, technického vybavení, vzdělávání a nadstandardní péče, které budou dále prezentovány a schváleny </w:t>
      </w:r>
      <w:r w:rsidR="00627775">
        <w:rPr>
          <w:rFonts w:ascii="Arial" w:eastAsia="Calibri" w:hAnsi="Arial"/>
          <w:sz w:val="22"/>
          <w:szCs w:val="22"/>
          <w:lang w:eastAsia="en-US"/>
        </w:rPr>
        <w:t xml:space="preserve">jak </w:t>
      </w:r>
      <w:r>
        <w:rPr>
          <w:rFonts w:ascii="Arial" w:eastAsia="Calibri" w:hAnsi="Arial"/>
          <w:sz w:val="22"/>
          <w:szCs w:val="22"/>
          <w:lang w:eastAsia="en-US"/>
        </w:rPr>
        <w:t xml:space="preserve">na úrovni zdravotních pojišťoven, tak také na úrovni jednotlivých zástupců poskytovatelů. Je potřeba podrobněji specifikovat některá z kritérií a stanovit, u kterých konkrétních OD je možné tato kvalitativní kritéria sledovat. </w:t>
      </w:r>
    </w:p>
    <w:p w:rsidR="00ED0ECD" w:rsidRDefault="00ED0ECD" w:rsidP="00C303E6">
      <w:pPr>
        <w:adjustRightInd w:val="0"/>
        <w:snapToGrid w:val="0"/>
        <w:spacing w:line="360" w:lineRule="auto"/>
        <w:jc w:val="both"/>
        <w:rPr>
          <w:rFonts w:ascii="Arial" w:eastAsia="Calibri" w:hAnsi="Arial"/>
          <w:sz w:val="22"/>
          <w:szCs w:val="22"/>
          <w:lang w:eastAsia="en-US"/>
        </w:rPr>
      </w:pPr>
      <w:r>
        <w:rPr>
          <w:rFonts w:ascii="Arial" w:eastAsia="Calibri" w:hAnsi="Arial"/>
          <w:sz w:val="22"/>
          <w:szCs w:val="22"/>
          <w:lang w:eastAsia="en-US"/>
        </w:rPr>
        <w:lastRenderedPageBreak/>
        <w:t xml:space="preserve">Jako kvalitativní standard je v současné době nutné považovat vyhlášky č. </w:t>
      </w:r>
      <w:r w:rsidRPr="00ED0ECD">
        <w:rPr>
          <w:rFonts w:ascii="Arial" w:eastAsia="Calibri" w:hAnsi="Arial"/>
          <w:sz w:val="22"/>
          <w:szCs w:val="22"/>
          <w:lang w:eastAsia="en-US"/>
        </w:rPr>
        <w:t>92/2012 Sb.</w:t>
      </w:r>
      <w:r>
        <w:rPr>
          <w:rFonts w:ascii="Arial" w:eastAsia="Calibri" w:hAnsi="Arial"/>
          <w:sz w:val="22"/>
          <w:szCs w:val="22"/>
          <w:lang w:eastAsia="en-US"/>
        </w:rPr>
        <w:t>, o </w:t>
      </w:r>
      <w:r w:rsidRPr="00ED0ECD">
        <w:rPr>
          <w:rFonts w:ascii="Arial" w:eastAsia="Calibri" w:hAnsi="Arial"/>
          <w:sz w:val="22"/>
          <w:szCs w:val="22"/>
          <w:lang w:eastAsia="en-US"/>
        </w:rPr>
        <w:t>požadavcích na minimální technické a věcné vyb</w:t>
      </w:r>
      <w:r>
        <w:rPr>
          <w:rFonts w:ascii="Arial" w:eastAsia="Calibri" w:hAnsi="Arial"/>
          <w:sz w:val="22"/>
          <w:szCs w:val="22"/>
          <w:lang w:eastAsia="en-US"/>
        </w:rPr>
        <w:t>avení zdravotnických zařízení a </w:t>
      </w:r>
      <w:r w:rsidRPr="00ED0ECD">
        <w:rPr>
          <w:rFonts w:ascii="Arial" w:eastAsia="Calibri" w:hAnsi="Arial"/>
          <w:sz w:val="22"/>
          <w:szCs w:val="22"/>
          <w:lang w:eastAsia="en-US"/>
        </w:rPr>
        <w:t>kontaktních pracovišť domácí péče</w:t>
      </w:r>
      <w:r>
        <w:rPr>
          <w:rFonts w:ascii="Arial" w:eastAsia="Calibri" w:hAnsi="Arial"/>
          <w:sz w:val="22"/>
          <w:szCs w:val="22"/>
          <w:lang w:eastAsia="en-US"/>
        </w:rPr>
        <w:t xml:space="preserve">, a č. </w:t>
      </w:r>
      <w:r w:rsidRPr="00ED0ECD">
        <w:rPr>
          <w:rFonts w:ascii="Arial" w:eastAsia="Calibri" w:hAnsi="Arial"/>
          <w:sz w:val="22"/>
          <w:szCs w:val="22"/>
          <w:lang w:eastAsia="en-US"/>
        </w:rPr>
        <w:t>99/2012 Sb.</w:t>
      </w:r>
      <w:r>
        <w:rPr>
          <w:rFonts w:ascii="Arial" w:eastAsia="Calibri" w:hAnsi="Arial"/>
          <w:sz w:val="22"/>
          <w:szCs w:val="22"/>
          <w:lang w:eastAsia="en-US"/>
        </w:rPr>
        <w:t xml:space="preserve">, </w:t>
      </w:r>
      <w:r w:rsidRPr="00ED0ECD">
        <w:rPr>
          <w:rFonts w:ascii="Arial" w:eastAsia="Calibri" w:hAnsi="Arial"/>
          <w:sz w:val="22"/>
          <w:szCs w:val="22"/>
          <w:lang w:eastAsia="en-US"/>
        </w:rPr>
        <w:t>o požadavcích na minimální personální zabezpečení zdravotních služeb</w:t>
      </w:r>
      <w:r w:rsidR="00532FDD">
        <w:rPr>
          <w:rFonts w:ascii="Arial" w:eastAsia="Calibri" w:hAnsi="Arial"/>
          <w:sz w:val="22"/>
          <w:szCs w:val="22"/>
          <w:lang w:eastAsia="en-US"/>
        </w:rPr>
        <w:t xml:space="preserve"> (dále jen „personální vyhláška“)</w:t>
      </w:r>
      <w:r>
        <w:rPr>
          <w:rFonts w:ascii="Arial" w:eastAsia="Calibri" w:hAnsi="Arial"/>
          <w:sz w:val="22"/>
          <w:szCs w:val="22"/>
          <w:lang w:eastAsia="en-US"/>
        </w:rPr>
        <w:t xml:space="preserve">. </w:t>
      </w:r>
    </w:p>
    <w:p w:rsidR="003C1E65" w:rsidRDefault="003C1E65" w:rsidP="00C303E6">
      <w:pPr>
        <w:adjustRightInd w:val="0"/>
        <w:snapToGrid w:val="0"/>
        <w:spacing w:line="360" w:lineRule="auto"/>
        <w:jc w:val="both"/>
        <w:rPr>
          <w:rFonts w:ascii="Arial" w:eastAsia="Calibri" w:hAnsi="Arial"/>
          <w:sz w:val="22"/>
          <w:szCs w:val="22"/>
          <w:lang w:eastAsia="en-US"/>
        </w:rPr>
      </w:pPr>
    </w:p>
    <w:p w:rsidR="00ED0ECD" w:rsidRDefault="00ED0ECD" w:rsidP="00C303E6">
      <w:pPr>
        <w:adjustRightInd w:val="0"/>
        <w:snapToGrid w:val="0"/>
        <w:spacing w:line="360" w:lineRule="auto"/>
        <w:jc w:val="both"/>
        <w:rPr>
          <w:rFonts w:ascii="Arial" w:eastAsia="Calibri" w:hAnsi="Arial"/>
          <w:sz w:val="22"/>
          <w:szCs w:val="22"/>
          <w:lang w:eastAsia="en-US"/>
        </w:rPr>
      </w:pPr>
      <w:r>
        <w:rPr>
          <w:rFonts w:ascii="Arial" w:eastAsia="Calibri" w:hAnsi="Arial"/>
          <w:sz w:val="22"/>
          <w:szCs w:val="22"/>
          <w:lang w:eastAsia="en-US"/>
        </w:rPr>
        <w:t xml:space="preserve">Na jednání bylo dohodnuto, že v současné době se lze shodnout na těchto kvalitativních kritériích: </w:t>
      </w:r>
    </w:p>
    <w:p w:rsidR="00ED0ECD" w:rsidRDefault="00ED0ECD" w:rsidP="004A54F0">
      <w:pPr>
        <w:pStyle w:val="Odstavecseseznamem"/>
        <w:numPr>
          <w:ilvl w:val="0"/>
          <w:numId w:val="7"/>
        </w:numPr>
        <w:adjustRightInd w:val="0"/>
        <w:snapToGrid w:val="0"/>
        <w:spacing w:after="240" w:line="360" w:lineRule="auto"/>
        <w:ind w:left="426" w:hanging="426"/>
        <w:jc w:val="both"/>
        <w:rPr>
          <w:sz w:val="22"/>
          <w:szCs w:val="22"/>
        </w:rPr>
      </w:pPr>
      <w:r w:rsidRPr="00A827E9">
        <w:rPr>
          <w:b/>
          <w:sz w:val="22"/>
          <w:szCs w:val="22"/>
        </w:rPr>
        <w:t>Personální</w:t>
      </w:r>
      <w:r w:rsidR="00CF45A4" w:rsidRPr="00A827E9">
        <w:rPr>
          <w:b/>
          <w:sz w:val="22"/>
          <w:szCs w:val="22"/>
        </w:rPr>
        <w:t xml:space="preserve"> standard</w:t>
      </w:r>
      <w:r w:rsidR="00CF45A4">
        <w:rPr>
          <w:sz w:val="22"/>
          <w:szCs w:val="22"/>
        </w:rPr>
        <w:t xml:space="preserve"> - standard </w:t>
      </w:r>
      <w:r w:rsidR="00532FDD">
        <w:rPr>
          <w:sz w:val="22"/>
          <w:szCs w:val="22"/>
        </w:rPr>
        <w:t xml:space="preserve">lze definovat na základě personální vyhlášky </w:t>
      </w:r>
      <w:r w:rsidR="00CF45A4">
        <w:rPr>
          <w:sz w:val="22"/>
          <w:szCs w:val="22"/>
        </w:rPr>
        <w:t>– dostupnost</w:t>
      </w:r>
      <w:r w:rsidR="00532FDD">
        <w:rPr>
          <w:sz w:val="22"/>
          <w:szCs w:val="22"/>
        </w:rPr>
        <w:t xml:space="preserve"> některého personálu</w:t>
      </w:r>
      <w:r w:rsidR="00CF45A4">
        <w:rPr>
          <w:sz w:val="22"/>
          <w:szCs w:val="22"/>
        </w:rPr>
        <w:t xml:space="preserve">, „nadstandard“ </w:t>
      </w:r>
      <w:r w:rsidR="00532FDD">
        <w:rPr>
          <w:sz w:val="22"/>
          <w:szCs w:val="22"/>
        </w:rPr>
        <w:t>–</w:t>
      </w:r>
      <w:r w:rsidR="00CF45A4">
        <w:rPr>
          <w:sz w:val="22"/>
          <w:szCs w:val="22"/>
        </w:rPr>
        <w:t xml:space="preserve"> úvazek</w:t>
      </w:r>
      <w:r w:rsidR="00532FDD">
        <w:rPr>
          <w:sz w:val="22"/>
          <w:szCs w:val="22"/>
        </w:rPr>
        <w:t xml:space="preserve"> u poskytovatele</w:t>
      </w:r>
    </w:p>
    <w:p w:rsidR="00ED0ECD" w:rsidRDefault="00CF45A4" w:rsidP="00ED0ECD">
      <w:pPr>
        <w:pStyle w:val="Odstavecseseznamem"/>
        <w:numPr>
          <w:ilvl w:val="1"/>
          <w:numId w:val="7"/>
        </w:numPr>
        <w:adjustRightInd w:val="0"/>
        <w:snapToGrid w:val="0"/>
        <w:spacing w:after="240" w:line="360" w:lineRule="auto"/>
        <w:jc w:val="both"/>
        <w:rPr>
          <w:sz w:val="22"/>
          <w:szCs w:val="22"/>
        </w:rPr>
      </w:pPr>
      <w:r>
        <w:rPr>
          <w:sz w:val="22"/>
          <w:szCs w:val="22"/>
        </w:rPr>
        <w:t xml:space="preserve">Sestra specialistka na hojení ran (certifikát) – potřeba stanovit jak velký úvazek v poměru na počet lůžek, </w:t>
      </w:r>
    </w:p>
    <w:p w:rsidR="00CF45A4" w:rsidRDefault="00CF45A4" w:rsidP="00ED0ECD">
      <w:pPr>
        <w:pStyle w:val="Odstavecseseznamem"/>
        <w:numPr>
          <w:ilvl w:val="1"/>
          <w:numId w:val="7"/>
        </w:numPr>
        <w:adjustRightInd w:val="0"/>
        <w:snapToGrid w:val="0"/>
        <w:spacing w:after="240" w:line="360" w:lineRule="auto"/>
        <w:jc w:val="both"/>
        <w:rPr>
          <w:sz w:val="22"/>
          <w:szCs w:val="22"/>
        </w:rPr>
      </w:pPr>
      <w:r>
        <w:rPr>
          <w:sz w:val="22"/>
          <w:szCs w:val="22"/>
        </w:rPr>
        <w:t>Nutriční terapeut,</w:t>
      </w:r>
    </w:p>
    <w:p w:rsidR="00CF45A4" w:rsidRDefault="00CF45A4" w:rsidP="00ED0ECD">
      <w:pPr>
        <w:pStyle w:val="Odstavecseseznamem"/>
        <w:numPr>
          <w:ilvl w:val="1"/>
          <w:numId w:val="7"/>
        </w:numPr>
        <w:adjustRightInd w:val="0"/>
        <w:snapToGrid w:val="0"/>
        <w:spacing w:after="240" w:line="360" w:lineRule="auto"/>
        <w:jc w:val="both"/>
        <w:rPr>
          <w:sz w:val="22"/>
          <w:szCs w:val="22"/>
        </w:rPr>
      </w:pPr>
      <w:r>
        <w:rPr>
          <w:sz w:val="22"/>
          <w:szCs w:val="22"/>
        </w:rPr>
        <w:t>Ergoterapeut/logoped,</w:t>
      </w:r>
    </w:p>
    <w:p w:rsidR="00CF45A4" w:rsidRDefault="00CF45A4" w:rsidP="00ED0ECD">
      <w:pPr>
        <w:pStyle w:val="Odstavecseseznamem"/>
        <w:numPr>
          <w:ilvl w:val="1"/>
          <w:numId w:val="7"/>
        </w:numPr>
        <w:adjustRightInd w:val="0"/>
        <w:snapToGrid w:val="0"/>
        <w:spacing w:after="240" w:line="360" w:lineRule="auto"/>
        <w:jc w:val="both"/>
        <w:rPr>
          <w:sz w:val="22"/>
          <w:szCs w:val="22"/>
        </w:rPr>
      </w:pPr>
      <w:r>
        <w:rPr>
          <w:sz w:val="22"/>
          <w:szCs w:val="22"/>
        </w:rPr>
        <w:t>Psychoterapeut</w:t>
      </w:r>
    </w:p>
    <w:p w:rsidR="00532FDD" w:rsidRPr="00A827E9" w:rsidRDefault="008065AE" w:rsidP="00CF45A4">
      <w:pPr>
        <w:pStyle w:val="Odstavecseseznamem"/>
        <w:numPr>
          <w:ilvl w:val="0"/>
          <w:numId w:val="7"/>
        </w:numPr>
        <w:adjustRightInd w:val="0"/>
        <w:snapToGrid w:val="0"/>
        <w:spacing w:after="240" w:line="360" w:lineRule="auto"/>
        <w:jc w:val="both"/>
        <w:rPr>
          <w:b/>
          <w:sz w:val="22"/>
          <w:szCs w:val="22"/>
        </w:rPr>
      </w:pPr>
      <w:r w:rsidRPr="00A827E9">
        <w:rPr>
          <w:b/>
          <w:sz w:val="22"/>
          <w:szCs w:val="22"/>
        </w:rPr>
        <w:t>Specifické stravování</w:t>
      </w:r>
    </w:p>
    <w:p w:rsidR="00CF45A4" w:rsidRDefault="008065AE" w:rsidP="00A827E9">
      <w:pPr>
        <w:pStyle w:val="Odstavecseseznamem"/>
        <w:numPr>
          <w:ilvl w:val="1"/>
          <w:numId w:val="13"/>
        </w:numPr>
        <w:adjustRightInd w:val="0"/>
        <w:snapToGrid w:val="0"/>
        <w:spacing w:after="240" w:line="360" w:lineRule="auto"/>
        <w:jc w:val="both"/>
        <w:rPr>
          <w:sz w:val="22"/>
          <w:szCs w:val="22"/>
        </w:rPr>
      </w:pPr>
      <w:r>
        <w:rPr>
          <w:sz w:val="22"/>
          <w:szCs w:val="22"/>
        </w:rPr>
        <w:t xml:space="preserve">zda je speciální stravování součástí terapie, </w:t>
      </w:r>
      <w:proofErr w:type="spellStart"/>
      <w:r>
        <w:rPr>
          <w:sz w:val="22"/>
          <w:szCs w:val="22"/>
        </w:rPr>
        <w:t>nutridrinky</w:t>
      </w:r>
      <w:proofErr w:type="spellEnd"/>
      <w:r>
        <w:rPr>
          <w:sz w:val="22"/>
          <w:szCs w:val="22"/>
        </w:rPr>
        <w:t xml:space="preserve">?, </w:t>
      </w:r>
    </w:p>
    <w:p w:rsidR="008065AE" w:rsidRDefault="008065AE" w:rsidP="00A827E9">
      <w:pPr>
        <w:pStyle w:val="Odstavecseseznamem"/>
        <w:numPr>
          <w:ilvl w:val="0"/>
          <w:numId w:val="13"/>
        </w:numPr>
        <w:adjustRightInd w:val="0"/>
        <w:snapToGrid w:val="0"/>
        <w:spacing w:after="240" w:line="360" w:lineRule="auto"/>
        <w:jc w:val="both"/>
        <w:rPr>
          <w:sz w:val="22"/>
          <w:szCs w:val="22"/>
        </w:rPr>
      </w:pPr>
      <w:r w:rsidRPr="00A827E9">
        <w:rPr>
          <w:b/>
          <w:sz w:val="22"/>
          <w:szCs w:val="22"/>
        </w:rPr>
        <w:t>Technické vybavení</w:t>
      </w:r>
      <w:r>
        <w:rPr>
          <w:sz w:val="22"/>
          <w:szCs w:val="22"/>
        </w:rPr>
        <w:t xml:space="preserve"> – standard viz</w:t>
      </w:r>
      <w:r w:rsidR="00A827E9">
        <w:rPr>
          <w:sz w:val="22"/>
          <w:szCs w:val="22"/>
        </w:rPr>
        <w:t>.</w:t>
      </w:r>
      <w:r>
        <w:rPr>
          <w:sz w:val="22"/>
          <w:szCs w:val="22"/>
        </w:rPr>
        <w:t xml:space="preserve"> vyhláška, stanovit co je navíc a v jakém rozsahu je to potřeba</w:t>
      </w:r>
    </w:p>
    <w:p w:rsidR="008065AE" w:rsidRDefault="008065AE" w:rsidP="00A827E9">
      <w:pPr>
        <w:pStyle w:val="Odstavecseseznamem"/>
        <w:numPr>
          <w:ilvl w:val="1"/>
          <w:numId w:val="14"/>
        </w:numPr>
        <w:adjustRightInd w:val="0"/>
        <w:snapToGrid w:val="0"/>
        <w:spacing w:after="240" w:line="360" w:lineRule="auto"/>
        <w:jc w:val="both"/>
        <w:rPr>
          <w:sz w:val="22"/>
          <w:szCs w:val="22"/>
        </w:rPr>
      </w:pPr>
      <w:r>
        <w:rPr>
          <w:sz w:val="22"/>
          <w:szCs w:val="22"/>
        </w:rPr>
        <w:t xml:space="preserve">Poměr vícelůžkových pokojů (4 a více lůžek) </w:t>
      </w:r>
      <w:proofErr w:type="gramStart"/>
      <w:r>
        <w:rPr>
          <w:sz w:val="22"/>
          <w:szCs w:val="22"/>
        </w:rPr>
        <w:t>ku</w:t>
      </w:r>
      <w:proofErr w:type="gramEnd"/>
      <w:r>
        <w:rPr>
          <w:sz w:val="22"/>
          <w:szCs w:val="22"/>
        </w:rPr>
        <w:t xml:space="preserve"> třílůžkovým a menším pokojům, případně průměrný počet pacientů na pokoj – </w:t>
      </w:r>
      <w:r w:rsidR="00532FDD">
        <w:rPr>
          <w:sz w:val="22"/>
          <w:szCs w:val="22"/>
        </w:rPr>
        <w:t xml:space="preserve">například </w:t>
      </w:r>
      <w:r>
        <w:rPr>
          <w:sz w:val="22"/>
          <w:szCs w:val="22"/>
        </w:rPr>
        <w:t>2,5 – 3 pacienti standard, pod 2,5 pacienta na pokoj bonifikace,</w:t>
      </w:r>
    </w:p>
    <w:p w:rsidR="00FE778F" w:rsidRDefault="008065AE" w:rsidP="00A827E9">
      <w:pPr>
        <w:pStyle w:val="Odstavecseseznamem"/>
        <w:numPr>
          <w:ilvl w:val="1"/>
          <w:numId w:val="14"/>
        </w:numPr>
        <w:adjustRightInd w:val="0"/>
        <w:snapToGrid w:val="0"/>
        <w:spacing w:after="240" w:line="360" w:lineRule="auto"/>
        <w:jc w:val="both"/>
        <w:rPr>
          <w:sz w:val="22"/>
          <w:szCs w:val="22"/>
        </w:rPr>
      </w:pPr>
      <w:r>
        <w:rPr>
          <w:sz w:val="22"/>
          <w:szCs w:val="22"/>
        </w:rPr>
        <w:t>Vybavení oddělení polohovatelnými lůžky a antidekubitními matracemi – kolik % lůžek bude takovými lůžky vybaveno – mohlo by být nastaveno na cca 60 % lůžek, měl</w:t>
      </w:r>
      <w:r w:rsidR="00FE778F">
        <w:rPr>
          <w:sz w:val="22"/>
          <w:szCs w:val="22"/>
        </w:rPr>
        <w:t xml:space="preserve"> by být proveden průzkum mezi zařízeními, aby nebylo nastaveno tak, že 90 % poskytovatelů tuto bonifikační podmínku splní. Tato podmínka bude hůře měřitelná pro zdravotní pojišťovny. </w:t>
      </w:r>
    </w:p>
    <w:p w:rsidR="00FE778F" w:rsidRPr="00A827E9" w:rsidRDefault="00FE778F" w:rsidP="00A827E9">
      <w:pPr>
        <w:pStyle w:val="Odstavecseseznamem"/>
        <w:numPr>
          <w:ilvl w:val="0"/>
          <w:numId w:val="14"/>
        </w:numPr>
        <w:adjustRightInd w:val="0"/>
        <w:snapToGrid w:val="0"/>
        <w:spacing w:after="240" w:line="360" w:lineRule="auto"/>
        <w:jc w:val="both"/>
        <w:rPr>
          <w:b/>
          <w:sz w:val="22"/>
          <w:szCs w:val="22"/>
        </w:rPr>
      </w:pPr>
      <w:r w:rsidRPr="00A827E9">
        <w:rPr>
          <w:b/>
          <w:sz w:val="22"/>
          <w:szCs w:val="22"/>
        </w:rPr>
        <w:t>Vzdělávání</w:t>
      </w:r>
    </w:p>
    <w:p w:rsidR="008065AE" w:rsidRDefault="00FE778F" w:rsidP="00A827E9">
      <w:pPr>
        <w:pStyle w:val="Odstavecseseznamem"/>
        <w:numPr>
          <w:ilvl w:val="1"/>
          <w:numId w:val="15"/>
        </w:numPr>
        <w:adjustRightInd w:val="0"/>
        <w:snapToGrid w:val="0"/>
        <w:spacing w:after="120" w:line="360" w:lineRule="auto"/>
        <w:jc w:val="both"/>
        <w:rPr>
          <w:sz w:val="22"/>
          <w:szCs w:val="22"/>
        </w:rPr>
      </w:pPr>
      <w:r>
        <w:rPr>
          <w:sz w:val="22"/>
          <w:szCs w:val="22"/>
        </w:rPr>
        <w:t>ZP by mohlo být v rámci personálního auditu hlášeno</w:t>
      </w:r>
      <w:r w:rsidR="00532FDD">
        <w:rPr>
          <w:sz w:val="22"/>
          <w:szCs w:val="22"/>
        </w:rPr>
        <w:t>,</w:t>
      </w:r>
      <w:r>
        <w:rPr>
          <w:sz w:val="22"/>
          <w:szCs w:val="22"/>
        </w:rPr>
        <w:t xml:space="preserve"> kolik bylo organizováno interních akci a doklady k nim – prezenční listiny atd., složitější na kvantifikaci – např. 75 % sester se v průměru za poslední 2 nebo 3 roky zúčastnilo alespoň 3 školících akcí za rok.</w:t>
      </w:r>
    </w:p>
    <w:p w:rsidR="00FE778F" w:rsidRPr="00FE778F" w:rsidRDefault="00FE778F" w:rsidP="00C303E6">
      <w:pPr>
        <w:adjustRightInd w:val="0"/>
        <w:snapToGrid w:val="0"/>
        <w:spacing w:line="360" w:lineRule="auto"/>
        <w:jc w:val="both"/>
        <w:rPr>
          <w:rFonts w:ascii="Arial" w:eastAsia="Calibri" w:hAnsi="Arial"/>
          <w:sz w:val="22"/>
          <w:szCs w:val="22"/>
          <w:lang w:eastAsia="en-US"/>
        </w:rPr>
      </w:pPr>
      <w:r w:rsidRPr="00FE778F">
        <w:rPr>
          <w:rFonts w:ascii="Arial" w:eastAsia="Calibri" w:hAnsi="Arial"/>
          <w:sz w:val="22"/>
          <w:szCs w:val="22"/>
          <w:lang w:eastAsia="en-US"/>
        </w:rPr>
        <w:t>Těchto 8 kritérií by mělo být podrobněji specifikováno a na příštím jednání dokončeno a předáno k dispozici pro využití v dohodovacím řízení pro rok 2020.</w:t>
      </w:r>
    </w:p>
    <w:p w:rsidR="00FE778F" w:rsidRDefault="00FE778F" w:rsidP="00C303E6">
      <w:pPr>
        <w:adjustRightInd w:val="0"/>
        <w:snapToGrid w:val="0"/>
        <w:spacing w:line="360" w:lineRule="auto"/>
        <w:jc w:val="both"/>
        <w:rPr>
          <w:rFonts w:ascii="Arial" w:eastAsia="Calibri" w:hAnsi="Arial"/>
          <w:sz w:val="22"/>
          <w:szCs w:val="22"/>
          <w:lang w:eastAsia="en-US"/>
        </w:rPr>
      </w:pPr>
      <w:r w:rsidRPr="00FE778F">
        <w:rPr>
          <w:rFonts w:ascii="Arial" w:eastAsia="Calibri" w:hAnsi="Arial"/>
          <w:sz w:val="22"/>
          <w:szCs w:val="22"/>
          <w:lang w:eastAsia="en-US"/>
        </w:rPr>
        <w:lastRenderedPageBreak/>
        <w:t>Za splnění každého kritéria by získal poskytovatel nárok na adekvátní navýšení úhrady – např. 0,01 % úhrady – musí být upřesněno, případně ponechat na nastavení až v rámci dohodovacího řízení.</w:t>
      </w:r>
    </w:p>
    <w:p w:rsidR="00FE778F" w:rsidRDefault="00FE778F" w:rsidP="00C303E6">
      <w:pPr>
        <w:adjustRightInd w:val="0"/>
        <w:snapToGrid w:val="0"/>
        <w:spacing w:line="360" w:lineRule="auto"/>
        <w:jc w:val="both"/>
        <w:rPr>
          <w:rFonts w:ascii="Arial" w:eastAsia="Calibri" w:hAnsi="Arial"/>
          <w:sz w:val="22"/>
          <w:szCs w:val="22"/>
          <w:lang w:eastAsia="en-US"/>
        </w:rPr>
      </w:pPr>
      <w:r>
        <w:rPr>
          <w:rFonts w:ascii="Arial" w:eastAsia="Calibri" w:hAnsi="Arial"/>
          <w:sz w:val="22"/>
          <w:szCs w:val="22"/>
          <w:lang w:eastAsia="en-US"/>
        </w:rPr>
        <w:t xml:space="preserve">Pokud zdravotní pojišťovna zjistí, že poskytovatel deklaroval splnění některého z kritérií, ale ve skutečnosti tuto podmínku nesplnil, mohla by být navržena pro takové případy sankce. </w:t>
      </w:r>
    </w:p>
    <w:p w:rsidR="00FE778F" w:rsidRPr="00FE778F" w:rsidRDefault="00FE778F" w:rsidP="00C303E6">
      <w:pPr>
        <w:adjustRightInd w:val="0"/>
        <w:snapToGrid w:val="0"/>
        <w:spacing w:line="360" w:lineRule="auto"/>
        <w:jc w:val="both"/>
        <w:rPr>
          <w:rFonts w:ascii="Arial" w:eastAsia="Calibri" w:hAnsi="Arial"/>
          <w:sz w:val="22"/>
          <w:szCs w:val="22"/>
          <w:lang w:eastAsia="en-US"/>
        </w:rPr>
      </w:pPr>
      <w:r>
        <w:rPr>
          <w:rFonts w:ascii="Arial" w:eastAsia="Calibri" w:hAnsi="Arial"/>
          <w:sz w:val="22"/>
          <w:szCs w:val="22"/>
          <w:lang w:eastAsia="en-US"/>
        </w:rPr>
        <w:t>Je potřeba správně nastavit jednotlivá kritéria tak</w:t>
      </w:r>
      <w:r w:rsidR="00532FDD">
        <w:rPr>
          <w:rFonts w:ascii="Arial" w:eastAsia="Calibri" w:hAnsi="Arial"/>
          <w:sz w:val="22"/>
          <w:szCs w:val="22"/>
          <w:lang w:eastAsia="en-US"/>
        </w:rPr>
        <w:t>,</w:t>
      </w:r>
      <w:r>
        <w:rPr>
          <w:rFonts w:ascii="Arial" w:eastAsia="Calibri" w:hAnsi="Arial"/>
          <w:sz w:val="22"/>
          <w:szCs w:val="22"/>
          <w:lang w:eastAsia="en-US"/>
        </w:rPr>
        <w:t xml:space="preserve"> aby se skutečně jednalo o motivaci k postupnému zvyšování kvality poskytovaných služeb, ne pouze o bonifikaci již existujících služeb.</w:t>
      </w:r>
    </w:p>
    <w:p w:rsidR="00D6279B" w:rsidRPr="00FE778F" w:rsidRDefault="00D6279B" w:rsidP="00C303E6">
      <w:pPr>
        <w:adjustRightInd w:val="0"/>
        <w:snapToGrid w:val="0"/>
        <w:spacing w:before="240" w:after="240" w:line="360" w:lineRule="auto"/>
        <w:jc w:val="both"/>
        <w:rPr>
          <w:rFonts w:ascii="Arial" w:eastAsia="Calibri" w:hAnsi="Arial"/>
          <w:b/>
          <w:sz w:val="22"/>
          <w:szCs w:val="22"/>
          <w:lang w:eastAsia="en-US"/>
        </w:rPr>
      </w:pPr>
      <w:r w:rsidRPr="00FE778F">
        <w:rPr>
          <w:rFonts w:ascii="Arial" w:eastAsia="Calibri" w:hAnsi="Arial"/>
          <w:b/>
          <w:sz w:val="22"/>
          <w:szCs w:val="22"/>
          <w:lang w:eastAsia="en-US"/>
        </w:rPr>
        <w:t>Závěr</w:t>
      </w:r>
    </w:p>
    <w:p w:rsidR="00C303E6" w:rsidRDefault="00A2142A" w:rsidP="00C303E6">
      <w:pPr>
        <w:adjustRightInd w:val="0"/>
        <w:snapToGrid w:val="0"/>
        <w:spacing w:line="360" w:lineRule="auto"/>
        <w:jc w:val="both"/>
        <w:rPr>
          <w:rFonts w:ascii="Arial" w:eastAsia="Calibri" w:hAnsi="Arial"/>
          <w:sz w:val="22"/>
          <w:szCs w:val="22"/>
          <w:lang w:eastAsia="en-US"/>
        </w:rPr>
      </w:pPr>
      <w:r>
        <w:rPr>
          <w:rFonts w:ascii="Arial" w:eastAsia="Calibri" w:hAnsi="Arial"/>
          <w:sz w:val="22"/>
          <w:szCs w:val="22"/>
          <w:lang w:eastAsia="en-US"/>
        </w:rPr>
        <w:t xml:space="preserve">Bylo dohodnuto, že </w:t>
      </w:r>
      <w:r w:rsidR="00FE778F">
        <w:rPr>
          <w:rFonts w:ascii="Arial" w:eastAsia="Calibri" w:hAnsi="Arial"/>
          <w:sz w:val="22"/>
          <w:szCs w:val="22"/>
          <w:lang w:eastAsia="en-US"/>
        </w:rPr>
        <w:t xml:space="preserve">po rozeslání zápisu z tohoto jednání budou </w:t>
      </w:r>
      <w:r w:rsidR="00C303E6">
        <w:rPr>
          <w:rFonts w:ascii="Arial" w:eastAsia="Calibri" w:hAnsi="Arial"/>
          <w:sz w:val="22"/>
          <w:szCs w:val="22"/>
          <w:lang w:eastAsia="en-US"/>
        </w:rPr>
        <w:t>zástupci poskytovatelů diskutovat další nastavení parametrů v rámci jednotlivých ošetřovacích dnů, tak aby byly jednotlivé parametry nastaveny motivačně a zároveň aby byly aplikovány pouze tam, kde jejich sledování dává smysl</w:t>
      </w:r>
      <w:r w:rsidR="00BD01F0">
        <w:rPr>
          <w:rFonts w:ascii="Arial" w:eastAsia="Calibri" w:hAnsi="Arial"/>
          <w:sz w:val="22"/>
          <w:szCs w:val="22"/>
          <w:lang w:eastAsia="en-US"/>
        </w:rPr>
        <w:t xml:space="preserve">. </w:t>
      </w:r>
      <w:r w:rsidR="00C303E6">
        <w:rPr>
          <w:rFonts w:ascii="Arial" w:eastAsia="Calibri" w:hAnsi="Arial"/>
          <w:sz w:val="22"/>
          <w:szCs w:val="22"/>
          <w:lang w:eastAsia="en-US"/>
        </w:rPr>
        <w:t xml:space="preserve">Je potřeba diskutovat nastavení těchto kritérií u psychiatrických ošetřovacích dnů. </w:t>
      </w:r>
    </w:p>
    <w:p w:rsidR="00A2142A" w:rsidRDefault="00B919BC" w:rsidP="00C303E6">
      <w:pPr>
        <w:adjustRightInd w:val="0"/>
        <w:snapToGrid w:val="0"/>
        <w:spacing w:line="360" w:lineRule="auto"/>
        <w:jc w:val="both"/>
        <w:rPr>
          <w:rFonts w:ascii="Arial" w:eastAsia="Calibri" w:hAnsi="Arial"/>
          <w:sz w:val="22"/>
          <w:szCs w:val="22"/>
          <w:lang w:eastAsia="en-US"/>
        </w:rPr>
      </w:pPr>
      <w:r>
        <w:rPr>
          <w:rFonts w:ascii="Arial" w:eastAsia="Calibri" w:hAnsi="Arial"/>
          <w:sz w:val="22"/>
          <w:szCs w:val="22"/>
          <w:lang w:eastAsia="en-US"/>
        </w:rPr>
        <w:t xml:space="preserve">Termín dalšího jednání </w:t>
      </w:r>
      <w:r w:rsidR="00C303E6">
        <w:rPr>
          <w:rFonts w:ascii="Arial" w:eastAsia="Calibri" w:hAnsi="Arial"/>
          <w:sz w:val="22"/>
          <w:szCs w:val="22"/>
          <w:lang w:eastAsia="en-US"/>
        </w:rPr>
        <w:t xml:space="preserve">byl dohodnut na středu 6. 3. 2019 od 9:30 hod v zasedací místnosti 223a. </w:t>
      </w:r>
    </w:p>
    <w:p w:rsidR="007C0875" w:rsidRPr="00A2142A" w:rsidRDefault="007C0875" w:rsidP="0074215E">
      <w:pPr>
        <w:adjustRightInd w:val="0"/>
        <w:snapToGrid w:val="0"/>
        <w:spacing w:after="240" w:line="360" w:lineRule="auto"/>
        <w:jc w:val="both"/>
        <w:rPr>
          <w:rFonts w:ascii="Arial" w:eastAsia="Calibri" w:hAnsi="Arial"/>
          <w:sz w:val="22"/>
          <w:szCs w:val="22"/>
          <w:lang w:eastAsia="en-US"/>
        </w:rPr>
      </w:pPr>
    </w:p>
    <w:p w:rsidR="001A0B8F" w:rsidRDefault="001A0B8F">
      <w:pPr>
        <w:rPr>
          <w:rFonts w:ascii="Arial" w:eastAsia="Calibri" w:hAnsi="Arial"/>
          <w:sz w:val="22"/>
          <w:szCs w:val="22"/>
          <w:lang w:eastAsia="en-US"/>
        </w:rPr>
      </w:pPr>
    </w:p>
    <w:p w:rsidR="001A0B8F" w:rsidRDefault="001A0B8F">
      <w:pPr>
        <w:rPr>
          <w:rFonts w:ascii="Arial" w:eastAsia="Calibri" w:hAnsi="Arial"/>
          <w:sz w:val="22"/>
          <w:szCs w:val="22"/>
          <w:lang w:eastAsia="en-US"/>
        </w:rPr>
      </w:pPr>
    </w:p>
    <w:p w:rsidR="00C303E6" w:rsidRDefault="00C303E6">
      <w:pPr>
        <w:rPr>
          <w:rFonts w:ascii="Arial" w:eastAsia="Calibri" w:hAnsi="Arial"/>
          <w:sz w:val="22"/>
          <w:szCs w:val="22"/>
          <w:lang w:eastAsia="en-US"/>
        </w:rPr>
      </w:pPr>
    </w:p>
    <w:p w:rsidR="00C303E6" w:rsidRDefault="00C303E6">
      <w:pPr>
        <w:rPr>
          <w:rFonts w:ascii="Arial" w:eastAsia="Calibri" w:hAnsi="Arial"/>
          <w:sz w:val="22"/>
          <w:szCs w:val="22"/>
          <w:lang w:eastAsia="en-US"/>
        </w:rPr>
      </w:pPr>
    </w:p>
    <w:p w:rsidR="00C303E6" w:rsidRDefault="00C303E6">
      <w:pPr>
        <w:rPr>
          <w:rFonts w:ascii="Arial" w:eastAsia="Calibri" w:hAnsi="Arial"/>
          <w:sz w:val="22"/>
          <w:szCs w:val="22"/>
          <w:lang w:eastAsia="en-US"/>
        </w:rPr>
      </w:pPr>
    </w:p>
    <w:p w:rsidR="003C1E65" w:rsidRDefault="003C1E65">
      <w:pPr>
        <w:rPr>
          <w:rFonts w:ascii="Arial" w:eastAsia="Calibri" w:hAnsi="Arial"/>
          <w:sz w:val="22"/>
          <w:szCs w:val="22"/>
          <w:lang w:eastAsia="en-US"/>
        </w:rPr>
      </w:pPr>
    </w:p>
    <w:p w:rsidR="003C1E65" w:rsidRDefault="003C1E65">
      <w:pPr>
        <w:rPr>
          <w:rFonts w:ascii="Arial" w:eastAsia="Calibri" w:hAnsi="Arial"/>
          <w:sz w:val="22"/>
          <w:szCs w:val="22"/>
          <w:lang w:eastAsia="en-US"/>
        </w:rPr>
      </w:pPr>
    </w:p>
    <w:p w:rsidR="003C1E65" w:rsidRDefault="003C1E65">
      <w:pPr>
        <w:rPr>
          <w:rFonts w:ascii="Arial" w:eastAsia="Calibri" w:hAnsi="Arial"/>
          <w:sz w:val="22"/>
          <w:szCs w:val="22"/>
          <w:lang w:eastAsia="en-US"/>
        </w:rPr>
      </w:pPr>
    </w:p>
    <w:p w:rsidR="003C1E65" w:rsidRDefault="003C1E65">
      <w:pPr>
        <w:rPr>
          <w:rFonts w:ascii="Arial" w:eastAsia="Calibri" w:hAnsi="Arial"/>
          <w:sz w:val="22"/>
          <w:szCs w:val="22"/>
          <w:lang w:eastAsia="en-US"/>
        </w:rPr>
      </w:pPr>
    </w:p>
    <w:p w:rsidR="003C1E65" w:rsidRDefault="003C1E65">
      <w:pPr>
        <w:rPr>
          <w:rFonts w:ascii="Arial" w:eastAsia="Calibri" w:hAnsi="Arial"/>
          <w:sz w:val="22"/>
          <w:szCs w:val="22"/>
          <w:lang w:eastAsia="en-US"/>
        </w:rPr>
      </w:pPr>
    </w:p>
    <w:p w:rsidR="003C1E65" w:rsidRDefault="003C1E65">
      <w:pPr>
        <w:rPr>
          <w:rFonts w:ascii="Arial" w:eastAsia="Calibri" w:hAnsi="Arial"/>
          <w:sz w:val="22"/>
          <w:szCs w:val="22"/>
          <w:lang w:eastAsia="en-US"/>
        </w:rPr>
      </w:pPr>
    </w:p>
    <w:p w:rsidR="001A0B8F" w:rsidRPr="0074215E" w:rsidRDefault="001A0B8F" w:rsidP="001A0B8F">
      <w:pPr>
        <w:adjustRightInd w:val="0"/>
        <w:snapToGrid w:val="0"/>
        <w:spacing w:after="240" w:line="360" w:lineRule="auto"/>
        <w:jc w:val="both"/>
        <w:rPr>
          <w:rFonts w:ascii="Arial" w:eastAsia="Calibri" w:hAnsi="Arial"/>
          <w:sz w:val="22"/>
          <w:szCs w:val="22"/>
          <w:lang w:eastAsia="en-US"/>
        </w:rPr>
      </w:pPr>
      <w:r w:rsidRPr="0074215E">
        <w:rPr>
          <w:rFonts w:ascii="Arial" w:eastAsia="Calibri" w:hAnsi="Arial"/>
          <w:sz w:val="22"/>
          <w:szCs w:val="22"/>
          <w:lang w:eastAsia="en-US"/>
        </w:rPr>
        <w:t xml:space="preserve">V Praze dne </w:t>
      </w:r>
      <w:r w:rsidR="00C303E6">
        <w:rPr>
          <w:rFonts w:ascii="Arial" w:eastAsia="Calibri" w:hAnsi="Arial"/>
          <w:sz w:val="22"/>
          <w:szCs w:val="22"/>
          <w:lang w:eastAsia="en-US"/>
        </w:rPr>
        <w:t>30. 1</w:t>
      </w:r>
      <w:r>
        <w:rPr>
          <w:rFonts w:ascii="Arial" w:eastAsia="Calibri" w:hAnsi="Arial"/>
          <w:sz w:val="22"/>
          <w:szCs w:val="22"/>
          <w:lang w:eastAsia="en-US"/>
        </w:rPr>
        <w:t>. 2018</w:t>
      </w:r>
      <w:r w:rsidRPr="0074215E">
        <w:rPr>
          <w:rFonts w:ascii="Arial" w:eastAsia="Calibri" w:hAnsi="Arial"/>
          <w:sz w:val="22"/>
          <w:szCs w:val="22"/>
          <w:lang w:eastAsia="en-US"/>
        </w:rPr>
        <w:t xml:space="preserve"> zapsala</w:t>
      </w:r>
      <w:r>
        <w:rPr>
          <w:rFonts w:ascii="Arial" w:eastAsia="Calibri" w:hAnsi="Arial"/>
          <w:sz w:val="22"/>
          <w:szCs w:val="22"/>
          <w:lang w:eastAsia="en-US"/>
        </w:rPr>
        <w:t xml:space="preserve"> Ing. Hana Kovaříková</w:t>
      </w:r>
    </w:p>
    <w:p w:rsidR="00A827E9" w:rsidRDefault="001A0B8F" w:rsidP="00A827E9">
      <w:pPr>
        <w:adjustRightInd w:val="0"/>
        <w:snapToGrid w:val="0"/>
        <w:spacing w:line="360" w:lineRule="auto"/>
        <w:jc w:val="both"/>
        <w:rPr>
          <w:rFonts w:ascii="Arial" w:eastAsia="Calibri" w:hAnsi="Arial"/>
          <w:sz w:val="22"/>
          <w:szCs w:val="22"/>
          <w:lang w:eastAsia="en-US"/>
        </w:rPr>
      </w:pPr>
      <w:r>
        <w:rPr>
          <w:rFonts w:ascii="Arial" w:eastAsia="Calibri" w:hAnsi="Arial"/>
          <w:sz w:val="22"/>
          <w:szCs w:val="22"/>
          <w:lang w:eastAsia="en-US"/>
        </w:rPr>
        <w:t>Schválila Mgr. Pavlína Žílová</w:t>
      </w:r>
      <w:r>
        <w:rPr>
          <w:rFonts w:ascii="Arial" w:eastAsia="Calibri" w:hAnsi="Arial"/>
          <w:sz w:val="22"/>
          <w:szCs w:val="22"/>
          <w:lang w:eastAsia="en-US"/>
        </w:rPr>
        <w:br w:type="page"/>
      </w:r>
    </w:p>
    <w:p w:rsidR="00A827E9" w:rsidRPr="00A827E9" w:rsidRDefault="00A827E9" w:rsidP="00A827E9">
      <w:pPr>
        <w:adjustRightInd w:val="0"/>
        <w:snapToGrid w:val="0"/>
        <w:spacing w:line="360" w:lineRule="auto"/>
        <w:jc w:val="both"/>
        <w:rPr>
          <w:rFonts w:ascii="Arial" w:hAnsi="Arial" w:cs="Arial"/>
        </w:rPr>
      </w:pPr>
      <w:r w:rsidRPr="00A827E9">
        <w:rPr>
          <w:rFonts w:ascii="Arial" w:hAnsi="Arial" w:cs="Arial"/>
        </w:rPr>
        <w:lastRenderedPageBreak/>
        <w:t>Příloha č. 1</w:t>
      </w:r>
      <w:r w:rsidR="003C1E65">
        <w:rPr>
          <w:rFonts w:ascii="Arial" w:hAnsi="Arial" w:cs="Arial"/>
        </w:rPr>
        <w:t xml:space="preserve"> Návrh Ing. </w:t>
      </w:r>
      <w:proofErr w:type="spellStart"/>
      <w:r w:rsidR="003C1E65">
        <w:rPr>
          <w:rFonts w:ascii="Arial" w:hAnsi="Arial" w:cs="Arial"/>
        </w:rPr>
        <w:t>Čarvaše</w:t>
      </w:r>
      <w:proofErr w:type="spellEnd"/>
    </w:p>
    <w:p w:rsidR="00C303E6" w:rsidRPr="00A827E9" w:rsidRDefault="00C303E6" w:rsidP="003C1E65">
      <w:pPr>
        <w:adjustRightInd w:val="0"/>
        <w:snapToGrid w:val="0"/>
        <w:spacing w:line="360" w:lineRule="auto"/>
        <w:jc w:val="both"/>
        <w:rPr>
          <w:rFonts w:asciiTheme="minorHAnsi" w:hAnsiTheme="minorHAnsi"/>
          <w:b/>
          <w:sz w:val="32"/>
          <w:szCs w:val="32"/>
        </w:rPr>
      </w:pPr>
      <w:r w:rsidRPr="00A827E9">
        <w:rPr>
          <w:rFonts w:asciiTheme="minorHAnsi" w:hAnsiTheme="minorHAnsi"/>
          <w:b/>
          <w:sz w:val="32"/>
          <w:szCs w:val="32"/>
        </w:rPr>
        <w:t>Návrh kvalitativních kritérií v následné péči pro ÚV 2020</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b/>
          <w:sz w:val="22"/>
          <w:szCs w:val="22"/>
        </w:rPr>
        <w:t>Následná péče v ÚV 2020 - požadujeme zrušení regulace maximální úhrady na objem poskytnuté péče.</w:t>
      </w:r>
      <w:r w:rsidRPr="00A827E9">
        <w:rPr>
          <w:rFonts w:asciiTheme="minorHAnsi" w:hAnsiTheme="minorHAnsi"/>
          <w:sz w:val="22"/>
          <w:szCs w:val="22"/>
        </w:rPr>
        <w:t xml:space="preserve"> Souhlasíme s nastavením rozumných ukazatelů kvality do systému úhrad jako bonifikační kritérium. Je třeba vzít v potaz i fakt, že růst úhrad musí být odpovídající růstu především osobních nákladů, ale i jiných (energie, odpisy, GDPR, …). V následné péči je potřeba vyšší % růstu úhrady než v ambulanci díky vyššímu % osobních nákladů na celkových nákladech.</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b/>
          <w:sz w:val="22"/>
          <w:szCs w:val="22"/>
        </w:rPr>
        <w:t>Z hlediska realizace a reálného zhodnocení kvality mi přijde jako jediné rozumné posouzení kvality takové, které proběhne v terénu u poskytovatele zdravotních služeb.</w:t>
      </w:r>
      <w:r w:rsidRPr="00A827E9">
        <w:rPr>
          <w:rFonts w:asciiTheme="minorHAnsi" w:hAnsiTheme="minorHAnsi"/>
          <w:sz w:val="22"/>
          <w:szCs w:val="22"/>
        </w:rPr>
        <w:t xml:space="preserve"> Navrhoval bych takový způsob, že by si ZP rozdělili regiony či poskytovatele a že by jejich revizní pracovníci udělali prohlídky na místě u poskytovatele. Předpokládám, že taková prohlídka, dopředu avizovaná, by trvala řádově 2 hodiny, takže by posuzovatelé stihli i 2-3 poskytovatele za jeden den dle dojezdu. Zde by obodovali hodnocené kvalitativní ukazatele, jako například čistotu, používání </w:t>
      </w:r>
      <w:proofErr w:type="spellStart"/>
      <w:r w:rsidRPr="00A827E9">
        <w:rPr>
          <w:rFonts w:asciiTheme="minorHAnsi" w:hAnsiTheme="minorHAnsi"/>
          <w:sz w:val="22"/>
          <w:szCs w:val="22"/>
        </w:rPr>
        <w:t>rhb</w:t>
      </w:r>
      <w:proofErr w:type="spellEnd"/>
      <w:r w:rsidRPr="00A827E9">
        <w:rPr>
          <w:rFonts w:asciiTheme="minorHAnsi" w:hAnsiTheme="minorHAnsi"/>
          <w:sz w:val="22"/>
          <w:szCs w:val="22"/>
        </w:rPr>
        <w:t xml:space="preserve"> a polohovacích pomůcek, frekvence rehabilitace, počet pacientů na pokoji, vlastní sociální zázemí, počet personálu atd. (návrh hodnocených ukazatelů je níže v textu). </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Tento výsledek by byl zaslán poskytovateli k vyjádření formou revizní zprávy, aby se k ní mohl vyjádřit a doplnit údaje, které posuzovatelé nepostřehli nebo nesprávně pochopili. Koneční výsledek by byl dán ostatním ZP, ty by ho akceptovaly a podle něj by bylo nějaké malé finanční zvýhodnění - bonifikace, kterou by definovala ÚV 2020.</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Tento způsob mi přijde jako rozumný, spravedlivý a relativně levný. Pokud by si MZ či ZP na tuto práci najmuli nějakou odbornou společnost (SAK, certifikační společnosti na ISO ve zdravotnictví, aj.) či nějaký komerční subjekt, který by udělal stejnou práci v terénu, pak by to bylo jen dražší a služba by se musela soutěžit dle ZZVZ.</w:t>
      </w:r>
    </w:p>
    <w:p w:rsidR="00C303E6" w:rsidRPr="00A827E9" w:rsidRDefault="00C303E6" w:rsidP="00A827E9">
      <w:pPr>
        <w:spacing w:line="276" w:lineRule="auto"/>
        <w:rPr>
          <w:rFonts w:asciiTheme="minorHAnsi" w:hAnsiTheme="minorHAnsi"/>
          <w:sz w:val="22"/>
          <w:szCs w:val="22"/>
        </w:rPr>
      </w:pPr>
    </w:p>
    <w:p w:rsidR="00C303E6" w:rsidRPr="00A827E9" w:rsidRDefault="00C303E6" w:rsidP="00A827E9">
      <w:pPr>
        <w:spacing w:line="276" w:lineRule="auto"/>
        <w:rPr>
          <w:rFonts w:asciiTheme="minorHAnsi" w:hAnsiTheme="minorHAnsi"/>
          <w:b/>
          <w:i/>
          <w:sz w:val="22"/>
          <w:szCs w:val="22"/>
          <w:u w:val="single"/>
        </w:rPr>
      </w:pPr>
      <w:r w:rsidRPr="00A827E9">
        <w:rPr>
          <w:rFonts w:asciiTheme="minorHAnsi" w:hAnsiTheme="minorHAnsi"/>
          <w:b/>
          <w:i/>
          <w:sz w:val="22"/>
          <w:szCs w:val="22"/>
          <w:u w:val="single"/>
        </w:rPr>
        <w:t>MOŽNÉ KVALITATIVNÍ UKAZATELÉ NÁSLEDNÉ PÉČE:</w:t>
      </w:r>
    </w:p>
    <w:p w:rsidR="00C303E6" w:rsidRPr="00A827E9" w:rsidRDefault="00C303E6" w:rsidP="00A827E9">
      <w:pPr>
        <w:pStyle w:val="Odstavecseseznamem"/>
        <w:numPr>
          <w:ilvl w:val="0"/>
          <w:numId w:val="9"/>
        </w:numPr>
        <w:spacing w:after="160"/>
        <w:jc w:val="both"/>
        <w:rPr>
          <w:rFonts w:asciiTheme="minorHAnsi" w:hAnsiTheme="minorHAnsi"/>
          <w:b/>
          <w:sz w:val="22"/>
          <w:szCs w:val="22"/>
        </w:rPr>
      </w:pPr>
      <w:r w:rsidRPr="00A827E9">
        <w:rPr>
          <w:rFonts w:asciiTheme="minorHAnsi" w:hAnsiTheme="minorHAnsi"/>
          <w:b/>
          <w:sz w:val="22"/>
          <w:szCs w:val="22"/>
        </w:rPr>
        <w:t>snáze či objektivně hodnotitelné</w:t>
      </w:r>
    </w:p>
    <w:p w:rsidR="00C303E6" w:rsidRPr="00A827E9" w:rsidRDefault="00C303E6" w:rsidP="00A827E9">
      <w:pPr>
        <w:spacing w:line="276" w:lineRule="auto"/>
        <w:ind w:left="360" w:hanging="360"/>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r>
      <w:r w:rsidRPr="00A827E9">
        <w:rPr>
          <w:rFonts w:asciiTheme="minorHAnsi" w:hAnsiTheme="minorHAnsi"/>
          <w:sz w:val="22"/>
          <w:szCs w:val="22"/>
        </w:rPr>
        <w:tab/>
        <w:t>hojení chronických ran – přítomnost setry specialistky na hojení ran (ANO x NE), využívání</w:t>
      </w:r>
      <w:r w:rsidRPr="00A827E9">
        <w:rPr>
          <w:rFonts w:asciiTheme="minorHAnsi" w:hAnsiTheme="minorHAnsi"/>
          <w:sz w:val="22"/>
          <w:szCs w:val="22"/>
        </w:rPr>
        <w:tab/>
        <w:t xml:space="preserve">moderních metod vlhkého hojení v péči o chronické či akutní rány (VAC </w:t>
      </w:r>
      <w:proofErr w:type="gramStart"/>
      <w:r w:rsidRPr="00A827E9">
        <w:rPr>
          <w:rFonts w:asciiTheme="minorHAnsi" w:hAnsiTheme="minorHAnsi"/>
          <w:sz w:val="22"/>
          <w:szCs w:val="22"/>
        </w:rPr>
        <w:t>systém....)</w:t>
      </w:r>
      <w:proofErr w:type="gramEnd"/>
    </w:p>
    <w:p w:rsidR="00C303E6" w:rsidRPr="00A827E9" w:rsidRDefault="00C303E6" w:rsidP="00A827E9">
      <w:pPr>
        <w:spacing w:line="276" w:lineRule="auto"/>
        <w:ind w:left="708" w:hanging="708"/>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 xml:space="preserve">nutriční parametry – sledování, řešení malnutrice (ANO x NE), </w:t>
      </w:r>
      <w:proofErr w:type="spellStart"/>
      <w:r w:rsidRPr="00A827E9">
        <w:rPr>
          <w:rFonts w:asciiTheme="minorHAnsi" w:hAnsiTheme="minorHAnsi"/>
          <w:sz w:val="22"/>
          <w:szCs w:val="22"/>
        </w:rPr>
        <w:t>dietoterapie</w:t>
      </w:r>
      <w:proofErr w:type="spellEnd"/>
      <w:r w:rsidRPr="00A827E9">
        <w:rPr>
          <w:rFonts w:asciiTheme="minorHAnsi" w:hAnsiTheme="minorHAnsi"/>
          <w:sz w:val="22"/>
          <w:szCs w:val="22"/>
        </w:rPr>
        <w:t> - odborně či na přání pacienta sestavené (upravené) diety, včetně potravinových doplňků, výběr z jídel, krmení pacientů a sledování, jak přijímají stravu a zda musí být dokrmováni.</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sledování hydratace pacientů (ANO x NE), Příjem tekutin (na pokoji X chodba),</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 xml:space="preserve">vybavení oddělení a používání antidekubitních pomůcek (vakuové </w:t>
      </w:r>
      <w:proofErr w:type="gramStart"/>
      <w:r w:rsidRPr="00A827E9">
        <w:rPr>
          <w:rFonts w:asciiTheme="minorHAnsi" w:hAnsiTheme="minorHAnsi"/>
          <w:sz w:val="22"/>
          <w:szCs w:val="22"/>
        </w:rPr>
        <w:t>matrace) (ANO</w:t>
      </w:r>
      <w:proofErr w:type="gramEnd"/>
      <w:r w:rsidRPr="00A827E9">
        <w:rPr>
          <w:rFonts w:asciiTheme="minorHAnsi" w:hAnsiTheme="minorHAnsi"/>
          <w:sz w:val="22"/>
          <w:szCs w:val="22"/>
        </w:rPr>
        <w:t xml:space="preserve"> x NE)</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sledování spokojenosti pacientů – stížnosti, pochvaly, interní nemocniční dotazníky (ANO x NE)</w:t>
      </w:r>
    </w:p>
    <w:p w:rsidR="00C303E6" w:rsidRPr="00A827E9" w:rsidRDefault="00C303E6" w:rsidP="00A827E9">
      <w:pPr>
        <w:spacing w:line="276" w:lineRule="auto"/>
        <w:ind w:left="708" w:hanging="708"/>
        <w:jc w:val="both"/>
        <w:rPr>
          <w:rFonts w:asciiTheme="minorHAnsi" w:hAnsiTheme="minorHAnsi"/>
          <w:sz w:val="22"/>
          <w:szCs w:val="22"/>
        </w:rPr>
      </w:pPr>
      <w:r w:rsidRPr="00A827E9">
        <w:rPr>
          <w:rFonts w:asciiTheme="minorHAnsi" w:hAnsiTheme="minorHAnsi"/>
          <w:sz w:val="22"/>
          <w:szCs w:val="22"/>
        </w:rPr>
        <w:lastRenderedPageBreak/>
        <w:t xml:space="preserve">- </w:t>
      </w:r>
      <w:r w:rsidRPr="00A827E9">
        <w:rPr>
          <w:rFonts w:asciiTheme="minorHAnsi" w:hAnsiTheme="minorHAnsi"/>
          <w:sz w:val="22"/>
          <w:szCs w:val="22"/>
        </w:rPr>
        <w:tab/>
        <w:t xml:space="preserve">provádění sociálního šetření, vyhodnocování nežádoucích událostí, sledování </w:t>
      </w:r>
      <w:proofErr w:type="spellStart"/>
      <w:r w:rsidRPr="00A827E9">
        <w:rPr>
          <w:rFonts w:asciiTheme="minorHAnsi" w:hAnsiTheme="minorHAnsi"/>
          <w:sz w:val="22"/>
          <w:szCs w:val="22"/>
        </w:rPr>
        <w:t>nosokomiálních</w:t>
      </w:r>
      <w:proofErr w:type="spellEnd"/>
      <w:r w:rsidRPr="00A827E9">
        <w:rPr>
          <w:rFonts w:asciiTheme="minorHAnsi" w:hAnsiTheme="minorHAnsi"/>
          <w:sz w:val="22"/>
          <w:szCs w:val="22"/>
        </w:rPr>
        <w:t xml:space="preserve"> infekcí, sledování a vyhodnocování použití omezovacích prostředků (centrální evidence), prevence pádů (ANO x NE)</w:t>
      </w:r>
    </w:p>
    <w:p w:rsidR="00C303E6" w:rsidRPr="00A827E9" w:rsidRDefault="00C303E6" w:rsidP="00A827E9">
      <w:pPr>
        <w:spacing w:line="276" w:lineRule="auto"/>
        <w:ind w:left="708" w:hanging="708"/>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vybavení pokojů (sociální zařízení, počet lůžek na pokoji, TV…), (ANO x NE), počet lůžek/pacientů na pokoji (do 3 x nad 3)</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čistota prostředí, na oddělení, na pokoji, chodbě, sociální zařízení (ANO x NE)</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přehlednost a celistvost dokumentace (ANO x NE)</w:t>
      </w:r>
    </w:p>
    <w:p w:rsidR="00C303E6" w:rsidRPr="00A827E9" w:rsidRDefault="00C303E6" w:rsidP="00A827E9">
      <w:pPr>
        <w:spacing w:line="276" w:lineRule="auto"/>
        <w:ind w:left="708" w:hanging="708"/>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technické vybavení (zvedák, koupací vany, enterální a infuzní pumpy, lineární dávkovač, saturační čidlo….) (ANO x NE)</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 xml:space="preserve">- </w:t>
      </w:r>
      <w:r w:rsidRPr="00A827E9">
        <w:rPr>
          <w:rFonts w:asciiTheme="minorHAnsi" w:hAnsiTheme="minorHAnsi"/>
          <w:sz w:val="22"/>
          <w:szCs w:val="22"/>
        </w:rPr>
        <w:tab/>
        <w:t>kvalita lůžek - elektricky ovládaná polohovatelná (ANO x NE)</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 xml:space="preserve">- </w:t>
      </w:r>
      <w:r w:rsidRPr="00A827E9">
        <w:rPr>
          <w:rFonts w:asciiTheme="minorHAnsi" w:hAnsiTheme="minorHAnsi"/>
          <w:sz w:val="22"/>
          <w:szCs w:val="22"/>
        </w:rPr>
        <w:tab/>
        <w:t xml:space="preserve">dostupnost rehabilitační péče (každý pracovní den - ANO x NE) </w:t>
      </w:r>
    </w:p>
    <w:p w:rsidR="00C303E6" w:rsidRPr="00A827E9" w:rsidRDefault="00C303E6" w:rsidP="00A827E9">
      <w:pPr>
        <w:spacing w:line="276" w:lineRule="auto"/>
        <w:ind w:left="708" w:hanging="708"/>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 xml:space="preserve">rehabilitace, ergoterapie, RHB pomůcky (chodítka, vozíky, chodník, </w:t>
      </w:r>
      <w:proofErr w:type="spellStart"/>
      <w:r w:rsidRPr="00A827E9">
        <w:rPr>
          <w:rFonts w:asciiTheme="minorHAnsi" w:hAnsiTheme="minorHAnsi"/>
          <w:sz w:val="22"/>
          <w:szCs w:val="22"/>
        </w:rPr>
        <w:t>motomedy</w:t>
      </w:r>
      <w:proofErr w:type="spellEnd"/>
      <w:r w:rsidRPr="00A827E9">
        <w:rPr>
          <w:rFonts w:asciiTheme="minorHAnsi" w:hAnsiTheme="minorHAnsi"/>
          <w:sz w:val="22"/>
          <w:szCs w:val="22"/>
        </w:rPr>
        <w:t xml:space="preserve">, </w:t>
      </w:r>
      <w:proofErr w:type="spellStart"/>
      <w:r w:rsidRPr="00A827E9">
        <w:rPr>
          <w:rFonts w:asciiTheme="minorHAnsi" w:hAnsiTheme="minorHAnsi"/>
          <w:sz w:val="22"/>
          <w:szCs w:val="22"/>
        </w:rPr>
        <w:t>cyklotrenažér</w:t>
      </w:r>
      <w:proofErr w:type="spellEnd"/>
      <w:r w:rsidRPr="00A827E9">
        <w:rPr>
          <w:rFonts w:asciiTheme="minorHAnsi" w:hAnsiTheme="minorHAnsi"/>
          <w:sz w:val="22"/>
          <w:szCs w:val="22"/>
        </w:rPr>
        <w:t xml:space="preserve">, dechové trenažery a další pomůcky, </w:t>
      </w:r>
      <w:proofErr w:type="gramStart"/>
      <w:r w:rsidRPr="00A827E9">
        <w:rPr>
          <w:rFonts w:asciiTheme="minorHAnsi" w:hAnsiTheme="minorHAnsi"/>
          <w:sz w:val="22"/>
          <w:szCs w:val="22"/>
        </w:rPr>
        <w:t>…) (ANO</w:t>
      </w:r>
      <w:proofErr w:type="gramEnd"/>
      <w:r w:rsidRPr="00A827E9">
        <w:rPr>
          <w:rFonts w:asciiTheme="minorHAnsi" w:hAnsiTheme="minorHAnsi"/>
          <w:sz w:val="22"/>
          <w:szCs w:val="22"/>
        </w:rPr>
        <w:t xml:space="preserve"> x NE), Rehabilitace mimo lůžko (ANO x NE), možnost cvičebny, skupinová cvičení (</w:t>
      </w:r>
      <w:proofErr w:type="spellStart"/>
      <w:r w:rsidRPr="00A827E9">
        <w:rPr>
          <w:rFonts w:asciiTheme="minorHAnsi" w:hAnsiTheme="minorHAnsi"/>
          <w:sz w:val="22"/>
          <w:szCs w:val="22"/>
        </w:rPr>
        <w:t>ANOxNE</w:t>
      </w:r>
      <w:proofErr w:type="spellEnd"/>
      <w:r w:rsidRPr="00A827E9">
        <w:rPr>
          <w:rFonts w:asciiTheme="minorHAnsi" w:hAnsiTheme="minorHAnsi"/>
          <w:sz w:val="22"/>
          <w:szCs w:val="22"/>
        </w:rPr>
        <w:t>) – toto vše svědčí o zaměření oddělení LDN, jak probíhá aplikace životních situací pro pacienta při nácviku na oddělení – chůze ze a do schodů, přesuny z lůžka na židle, oblékání, vstávání, sebeobsluha – držení hrnečku, tužky, psaní, … Diagnózy lze rozdělit na různé aktivizační činnosti a jejich rozsah a sortiment.</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          </w:t>
      </w:r>
      <w:r w:rsidRPr="00A827E9">
        <w:rPr>
          <w:rFonts w:asciiTheme="minorHAnsi" w:hAnsiTheme="minorHAnsi"/>
          <w:sz w:val="22"/>
          <w:szCs w:val="22"/>
        </w:rPr>
        <w:tab/>
        <w:t xml:space="preserve">polohování pacienta, </w:t>
      </w:r>
      <w:proofErr w:type="spellStart"/>
      <w:r w:rsidRPr="00A827E9">
        <w:rPr>
          <w:rFonts w:asciiTheme="minorHAnsi" w:hAnsiTheme="minorHAnsi"/>
          <w:sz w:val="22"/>
          <w:szCs w:val="22"/>
        </w:rPr>
        <w:t>dekubitní</w:t>
      </w:r>
      <w:proofErr w:type="spellEnd"/>
      <w:r w:rsidRPr="00A827E9">
        <w:rPr>
          <w:rFonts w:asciiTheme="minorHAnsi" w:hAnsiTheme="minorHAnsi"/>
          <w:sz w:val="22"/>
          <w:szCs w:val="22"/>
        </w:rPr>
        <w:t xml:space="preserve"> lůžka, polohovací pomůcky (ANO x NE)</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          </w:t>
      </w:r>
      <w:r w:rsidRPr="00A827E9">
        <w:rPr>
          <w:rFonts w:asciiTheme="minorHAnsi" w:hAnsiTheme="minorHAnsi"/>
          <w:sz w:val="22"/>
          <w:szCs w:val="22"/>
        </w:rPr>
        <w:tab/>
        <w:t>přítomnost logopeda/ergoterapeuta a jeho zapojení v léčbě (ANO x NE)</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vedení polohovacích záznamů jako součást ošetřovatelské dokumentace (ANO x NE)</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další vzdělávání sester – nemocniční semináře, odborné konference…. (ANO x NE)</w:t>
      </w:r>
    </w:p>
    <w:p w:rsidR="00C303E6" w:rsidRPr="00A827E9" w:rsidRDefault="00C303E6" w:rsidP="00A827E9">
      <w:pPr>
        <w:spacing w:line="276" w:lineRule="auto"/>
        <w:ind w:left="708" w:hanging="708"/>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vzdělání personálu - zaměření kurzů, které pracovníci oddělení mají – např. bazální stimulace, gerontologické kurzy, péče o pacienty s Alzheimerem atd. (ANO x NE)</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izolační režimy ( MRSA) – ANO x NE</w:t>
      </w:r>
    </w:p>
    <w:p w:rsidR="00C303E6" w:rsidRPr="00A827E9" w:rsidRDefault="00C303E6" w:rsidP="00A827E9">
      <w:pPr>
        <w:spacing w:line="276" w:lineRule="auto"/>
        <w:ind w:left="708" w:hanging="708"/>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dostupnost duchovní péče - nemocniční kaplan, možnost návštěvy kaple, duchovní pomoc od sestry, která může navštívit pacienta přímo na pokoji. (ANO x NE)</w:t>
      </w:r>
    </w:p>
    <w:p w:rsidR="00C303E6" w:rsidRPr="00A827E9" w:rsidRDefault="00C303E6" w:rsidP="00A827E9">
      <w:pPr>
        <w:spacing w:line="276" w:lineRule="auto"/>
        <w:ind w:left="708" w:hanging="708"/>
        <w:jc w:val="both"/>
        <w:rPr>
          <w:rFonts w:asciiTheme="minorHAnsi" w:hAnsiTheme="minorHAnsi"/>
          <w:sz w:val="22"/>
          <w:szCs w:val="22"/>
        </w:rPr>
      </w:pPr>
      <w:r w:rsidRPr="00A827E9">
        <w:rPr>
          <w:rFonts w:asciiTheme="minorHAnsi" w:hAnsiTheme="minorHAnsi"/>
          <w:sz w:val="22"/>
          <w:szCs w:val="22"/>
        </w:rPr>
        <w:t xml:space="preserve">- </w:t>
      </w:r>
      <w:r w:rsidRPr="00A827E9">
        <w:rPr>
          <w:rFonts w:asciiTheme="minorHAnsi" w:hAnsiTheme="minorHAnsi"/>
          <w:sz w:val="22"/>
          <w:szCs w:val="22"/>
        </w:rPr>
        <w:tab/>
        <w:t xml:space="preserve">dostupnost 24 h lékařské péče (24 hod dostupnost laboratoře, mikrobiologie; interního, chirurgického i ARO konzilia, dostupnost akutní péče 24 hod denně, dostupnost péče o dialyzované </w:t>
      </w:r>
      <w:proofErr w:type="gramStart"/>
      <w:r w:rsidRPr="00A827E9">
        <w:rPr>
          <w:rFonts w:asciiTheme="minorHAnsi" w:hAnsiTheme="minorHAnsi"/>
          <w:sz w:val="22"/>
          <w:szCs w:val="22"/>
        </w:rPr>
        <w:t>pacienty) (ANO</w:t>
      </w:r>
      <w:proofErr w:type="gramEnd"/>
      <w:r w:rsidRPr="00A827E9">
        <w:rPr>
          <w:rFonts w:asciiTheme="minorHAnsi" w:hAnsiTheme="minorHAnsi"/>
          <w:sz w:val="22"/>
          <w:szCs w:val="22"/>
        </w:rPr>
        <w:t xml:space="preserve"> x NE)</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   </w:t>
      </w:r>
      <w:r w:rsidRPr="00A827E9">
        <w:rPr>
          <w:rFonts w:asciiTheme="minorHAnsi" w:hAnsiTheme="minorHAnsi"/>
          <w:sz w:val="22"/>
          <w:szCs w:val="22"/>
        </w:rPr>
        <w:tab/>
        <w:t>a další …</w:t>
      </w:r>
    </w:p>
    <w:p w:rsidR="00C303E6" w:rsidRDefault="00C303E6" w:rsidP="00A827E9">
      <w:pPr>
        <w:spacing w:line="276" w:lineRule="auto"/>
        <w:jc w:val="both"/>
        <w:rPr>
          <w:rFonts w:asciiTheme="minorHAnsi" w:hAnsiTheme="minorHAnsi"/>
          <w:sz w:val="22"/>
          <w:szCs w:val="22"/>
        </w:rPr>
      </w:pPr>
    </w:p>
    <w:p w:rsidR="003C1E65" w:rsidRDefault="003C1E65" w:rsidP="00A827E9">
      <w:pPr>
        <w:spacing w:line="276" w:lineRule="auto"/>
        <w:jc w:val="both"/>
        <w:rPr>
          <w:rFonts w:asciiTheme="minorHAnsi" w:hAnsiTheme="minorHAnsi"/>
          <w:sz w:val="22"/>
          <w:szCs w:val="22"/>
        </w:rPr>
      </w:pPr>
    </w:p>
    <w:p w:rsidR="003C1E65" w:rsidRPr="00A827E9" w:rsidRDefault="003C1E65" w:rsidP="00A827E9">
      <w:pPr>
        <w:spacing w:line="276" w:lineRule="auto"/>
        <w:jc w:val="both"/>
        <w:rPr>
          <w:rFonts w:asciiTheme="minorHAnsi" w:hAnsiTheme="minorHAnsi"/>
          <w:sz w:val="22"/>
          <w:szCs w:val="22"/>
        </w:rPr>
      </w:pPr>
    </w:p>
    <w:p w:rsidR="00C303E6" w:rsidRPr="00A827E9" w:rsidRDefault="00C303E6" w:rsidP="00A827E9">
      <w:pPr>
        <w:pStyle w:val="Odstavecseseznamem"/>
        <w:numPr>
          <w:ilvl w:val="0"/>
          <w:numId w:val="9"/>
        </w:numPr>
        <w:spacing w:after="160"/>
        <w:jc w:val="both"/>
        <w:rPr>
          <w:rFonts w:asciiTheme="minorHAnsi" w:hAnsiTheme="minorHAnsi"/>
          <w:b/>
          <w:sz w:val="22"/>
          <w:szCs w:val="22"/>
        </w:rPr>
      </w:pPr>
      <w:r w:rsidRPr="00A827E9">
        <w:rPr>
          <w:rFonts w:asciiTheme="minorHAnsi" w:hAnsiTheme="minorHAnsi"/>
          <w:b/>
          <w:sz w:val="22"/>
          <w:szCs w:val="22"/>
        </w:rPr>
        <w:lastRenderedPageBreak/>
        <w:t>hůře a více subjektivně hodnotitelné</w:t>
      </w:r>
    </w:p>
    <w:p w:rsidR="00C303E6" w:rsidRPr="00A827E9" w:rsidRDefault="00C303E6" w:rsidP="00A827E9">
      <w:pPr>
        <w:spacing w:line="276" w:lineRule="auto"/>
        <w:ind w:left="708" w:hanging="708"/>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 xml:space="preserve">Celkový počet nežádoucích událostí a to hlavně dekubitů, což je ukazatel kvality ošetřovatelské péče - nově vzniklé dekubity na oddělení – zřejmě nějaké % </w:t>
      </w:r>
      <w:proofErr w:type="gramStart"/>
      <w:r w:rsidRPr="00A827E9">
        <w:rPr>
          <w:rFonts w:asciiTheme="minorHAnsi" w:hAnsiTheme="minorHAnsi"/>
          <w:sz w:val="22"/>
          <w:szCs w:val="22"/>
        </w:rPr>
        <w:t>ku</w:t>
      </w:r>
      <w:proofErr w:type="gramEnd"/>
      <w:r w:rsidRPr="00A827E9">
        <w:rPr>
          <w:rFonts w:asciiTheme="minorHAnsi" w:hAnsiTheme="minorHAnsi"/>
          <w:sz w:val="22"/>
          <w:szCs w:val="22"/>
        </w:rPr>
        <w:t xml:space="preserve"> počtu OD či pacientů, co je správná hodnota?), </w:t>
      </w:r>
    </w:p>
    <w:p w:rsidR="00C303E6" w:rsidRPr="00A827E9" w:rsidRDefault="00C303E6" w:rsidP="00A827E9">
      <w:pPr>
        <w:spacing w:line="276" w:lineRule="auto"/>
        <w:ind w:left="708" w:hanging="708"/>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počty personálu ve směně, stav personálu o víkendech (problém velikost oddělení, počet lůžek, náročnost pacientů, struktura diagnóz a ležáků, těžko porovnatelné mezi sebou)</w:t>
      </w:r>
    </w:p>
    <w:p w:rsidR="00C303E6" w:rsidRPr="00A827E9" w:rsidRDefault="00C303E6" w:rsidP="00A827E9">
      <w:pPr>
        <w:spacing w:line="276" w:lineRule="auto"/>
        <w:ind w:left="708" w:hanging="708"/>
        <w:jc w:val="both"/>
        <w:rPr>
          <w:rFonts w:asciiTheme="minorHAnsi" w:hAnsiTheme="minorHAnsi"/>
          <w:sz w:val="22"/>
          <w:szCs w:val="22"/>
        </w:rPr>
      </w:pPr>
      <w:r w:rsidRPr="00A827E9">
        <w:rPr>
          <w:rFonts w:asciiTheme="minorHAnsi" w:hAnsiTheme="minorHAnsi"/>
          <w:sz w:val="22"/>
          <w:szCs w:val="22"/>
        </w:rPr>
        <w:t>-</w:t>
      </w:r>
      <w:r w:rsidRPr="00A827E9">
        <w:rPr>
          <w:rFonts w:asciiTheme="minorHAnsi" w:hAnsiTheme="minorHAnsi"/>
          <w:sz w:val="22"/>
          <w:szCs w:val="22"/>
        </w:rPr>
        <w:tab/>
        <w:t>Počet rehabilitací v týdnu, frekvence, celková doba (problém velikost oddělení, počet lůžek, náročnost pacientů, struktura diagnóz a ležáků, těžko porovnatelné mezi sebou)</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 xml:space="preserve">- </w:t>
      </w:r>
      <w:r w:rsidRPr="00A827E9">
        <w:rPr>
          <w:rFonts w:asciiTheme="minorHAnsi" w:hAnsiTheme="minorHAnsi"/>
          <w:sz w:val="22"/>
          <w:szCs w:val="22"/>
        </w:rPr>
        <w:tab/>
        <w:t>průměrná čekací doba na dostupnost lůžka následné péče (co je správná hodnota?)</w:t>
      </w:r>
    </w:p>
    <w:p w:rsidR="00C303E6" w:rsidRPr="00A827E9" w:rsidRDefault="00C303E6" w:rsidP="00A827E9">
      <w:pPr>
        <w:spacing w:line="276" w:lineRule="auto"/>
        <w:jc w:val="both"/>
        <w:rPr>
          <w:rFonts w:asciiTheme="minorHAnsi" w:hAnsiTheme="minorHAnsi"/>
          <w:sz w:val="22"/>
          <w:szCs w:val="22"/>
        </w:rPr>
      </w:pPr>
      <w:r w:rsidRPr="00A827E9">
        <w:rPr>
          <w:rFonts w:asciiTheme="minorHAnsi" w:hAnsiTheme="minorHAnsi"/>
          <w:sz w:val="22"/>
          <w:szCs w:val="22"/>
        </w:rPr>
        <w:t xml:space="preserve">- </w:t>
      </w:r>
      <w:r w:rsidRPr="00A827E9">
        <w:rPr>
          <w:rFonts w:asciiTheme="minorHAnsi" w:hAnsiTheme="minorHAnsi"/>
          <w:sz w:val="22"/>
          <w:szCs w:val="22"/>
        </w:rPr>
        <w:tab/>
        <w:t>a další …</w:t>
      </w:r>
    </w:p>
    <w:p w:rsidR="00C303E6" w:rsidRPr="00A827E9" w:rsidRDefault="00C303E6" w:rsidP="00A827E9">
      <w:pPr>
        <w:spacing w:line="276" w:lineRule="auto"/>
        <w:rPr>
          <w:rFonts w:asciiTheme="minorHAnsi" w:hAnsiTheme="minorHAnsi"/>
          <w:sz w:val="22"/>
          <w:szCs w:val="22"/>
        </w:rPr>
      </w:pPr>
    </w:p>
    <w:p w:rsidR="00C303E6" w:rsidRPr="00A827E9" w:rsidRDefault="00C303E6" w:rsidP="00A827E9">
      <w:pPr>
        <w:spacing w:line="276" w:lineRule="auto"/>
        <w:rPr>
          <w:rFonts w:asciiTheme="minorHAnsi" w:hAnsiTheme="minorHAnsi"/>
          <w:sz w:val="22"/>
          <w:szCs w:val="22"/>
        </w:rPr>
      </w:pPr>
    </w:p>
    <w:p w:rsidR="00C303E6" w:rsidRPr="00A827E9" w:rsidRDefault="00C303E6" w:rsidP="00A827E9">
      <w:pPr>
        <w:spacing w:line="276" w:lineRule="auto"/>
        <w:rPr>
          <w:rFonts w:asciiTheme="minorHAnsi" w:hAnsiTheme="minorHAnsi"/>
          <w:b/>
          <w:i/>
          <w:sz w:val="22"/>
          <w:szCs w:val="22"/>
          <w:u w:val="single"/>
        </w:rPr>
      </w:pPr>
      <w:r w:rsidRPr="00A827E9">
        <w:rPr>
          <w:rFonts w:asciiTheme="minorHAnsi" w:hAnsiTheme="minorHAnsi"/>
          <w:b/>
          <w:i/>
          <w:sz w:val="22"/>
          <w:szCs w:val="22"/>
          <w:u w:val="single"/>
        </w:rPr>
        <w:t>Hodnocení kvality péče segmentovat podle:</w:t>
      </w:r>
    </w:p>
    <w:p w:rsidR="00C303E6" w:rsidRPr="00A827E9" w:rsidRDefault="00C303E6" w:rsidP="00A827E9">
      <w:pPr>
        <w:pStyle w:val="Odstavecseseznamem"/>
        <w:numPr>
          <w:ilvl w:val="0"/>
          <w:numId w:val="10"/>
        </w:numPr>
        <w:spacing w:after="160"/>
        <w:rPr>
          <w:rFonts w:asciiTheme="minorHAnsi" w:hAnsiTheme="minorHAnsi"/>
          <w:b/>
          <w:i/>
          <w:sz w:val="22"/>
          <w:szCs w:val="22"/>
          <w:u w:val="single"/>
        </w:rPr>
      </w:pPr>
      <w:r w:rsidRPr="00A827E9">
        <w:rPr>
          <w:rFonts w:asciiTheme="minorHAnsi" w:hAnsiTheme="minorHAnsi"/>
          <w:sz w:val="22"/>
          <w:szCs w:val="22"/>
        </w:rPr>
        <w:t>nasmlouvaných ošetřovacích dnů (jinak hodnotit klasické „LDN“, jinak plicní léčebny, jinak rehabilitační ústavy),</w:t>
      </w:r>
    </w:p>
    <w:p w:rsidR="00C303E6" w:rsidRPr="00A827E9" w:rsidRDefault="00C303E6" w:rsidP="00A827E9">
      <w:pPr>
        <w:pStyle w:val="Odstavecseseznamem"/>
        <w:numPr>
          <w:ilvl w:val="0"/>
          <w:numId w:val="10"/>
        </w:numPr>
        <w:spacing w:after="160"/>
        <w:rPr>
          <w:rFonts w:asciiTheme="minorHAnsi" w:hAnsiTheme="minorHAnsi"/>
          <w:sz w:val="22"/>
          <w:szCs w:val="22"/>
        </w:rPr>
      </w:pPr>
      <w:r w:rsidRPr="00A827E9">
        <w:rPr>
          <w:rFonts w:asciiTheme="minorHAnsi" w:hAnsiTheme="minorHAnsi"/>
          <w:sz w:val="22"/>
          <w:szCs w:val="22"/>
        </w:rPr>
        <w:t>rozlišovat podle převažující skupiny pacientů</w:t>
      </w:r>
    </w:p>
    <w:p w:rsidR="00C303E6" w:rsidRPr="00A827E9" w:rsidRDefault="00C303E6" w:rsidP="00A827E9">
      <w:pPr>
        <w:pStyle w:val="Odstavecseseznamem"/>
        <w:numPr>
          <w:ilvl w:val="0"/>
          <w:numId w:val="11"/>
        </w:numPr>
        <w:spacing w:after="160"/>
        <w:rPr>
          <w:rFonts w:asciiTheme="minorHAnsi" w:hAnsiTheme="minorHAnsi"/>
          <w:sz w:val="22"/>
          <w:szCs w:val="22"/>
        </w:rPr>
      </w:pPr>
      <w:r w:rsidRPr="00A827E9">
        <w:rPr>
          <w:rFonts w:asciiTheme="minorHAnsi" w:hAnsiTheme="minorHAnsi"/>
          <w:sz w:val="22"/>
          <w:szCs w:val="22"/>
        </w:rPr>
        <w:t>fyzické nemoci (kyčle, úrazy),</w:t>
      </w:r>
    </w:p>
    <w:p w:rsidR="00C303E6" w:rsidRPr="00A827E9" w:rsidRDefault="00C303E6" w:rsidP="00A827E9">
      <w:pPr>
        <w:pStyle w:val="Odstavecseseznamem"/>
        <w:numPr>
          <w:ilvl w:val="0"/>
          <w:numId w:val="11"/>
        </w:numPr>
        <w:spacing w:after="160"/>
        <w:rPr>
          <w:rFonts w:asciiTheme="minorHAnsi" w:hAnsiTheme="minorHAnsi"/>
          <w:sz w:val="22"/>
          <w:szCs w:val="22"/>
        </w:rPr>
      </w:pPr>
      <w:r w:rsidRPr="00A827E9">
        <w:rPr>
          <w:rFonts w:asciiTheme="minorHAnsi" w:hAnsiTheme="minorHAnsi"/>
          <w:sz w:val="22"/>
          <w:szCs w:val="22"/>
        </w:rPr>
        <w:t>psychické nemoci (demence, Alzheimer),</w:t>
      </w:r>
    </w:p>
    <w:p w:rsidR="00C303E6" w:rsidRPr="00A827E9" w:rsidRDefault="00C303E6" w:rsidP="00A827E9">
      <w:pPr>
        <w:pStyle w:val="Odstavecseseznamem"/>
        <w:numPr>
          <w:ilvl w:val="0"/>
          <w:numId w:val="11"/>
        </w:numPr>
        <w:spacing w:after="160"/>
        <w:rPr>
          <w:rFonts w:asciiTheme="minorHAnsi" w:hAnsiTheme="minorHAnsi"/>
          <w:sz w:val="22"/>
          <w:szCs w:val="22"/>
        </w:rPr>
      </w:pPr>
      <w:r w:rsidRPr="00A827E9">
        <w:rPr>
          <w:rFonts w:asciiTheme="minorHAnsi" w:hAnsiTheme="minorHAnsi"/>
          <w:sz w:val="22"/>
          <w:szCs w:val="22"/>
        </w:rPr>
        <w:t>kombinace fyzické a psychické nemoci (ikty/ochrnutí fyzické + mentální problémy).</w:t>
      </w:r>
    </w:p>
    <w:sectPr w:rsidR="00C303E6" w:rsidRPr="00A827E9" w:rsidSect="003E476F">
      <w:headerReference w:type="default" r:id="rId12"/>
      <w:footerReference w:type="default" r:id="rId13"/>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CF" w:rsidRDefault="008C1ACF" w:rsidP="009D5D21">
      <w:r>
        <w:separator/>
      </w:r>
    </w:p>
  </w:endnote>
  <w:endnote w:type="continuationSeparator" w:id="0">
    <w:p w:rsidR="008C1ACF" w:rsidRDefault="008C1ACF" w:rsidP="009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46" w:rsidRPr="00E322C1" w:rsidRDefault="0074215E" w:rsidP="00B777D0">
    <w:pPr>
      <w:pStyle w:val="Zpat"/>
      <w:rPr>
        <w:rFonts w:ascii="Arial" w:hAnsi="Arial"/>
        <w:noProof/>
        <w:color w:val="244061"/>
        <w:sz w:val="16"/>
        <w:szCs w:val="13"/>
      </w:rPr>
    </w:pPr>
    <w:r>
      <w:rPr>
        <w:rFonts w:ascii="Arial" w:hAnsi="Arial"/>
        <w:noProof/>
        <w:color w:val="244061"/>
        <w:sz w:val="16"/>
        <w:szCs w:val="13"/>
      </w:rPr>
      <w:drawing>
        <wp:anchor distT="0" distB="0" distL="114300" distR="114300" simplePos="0" relativeHeight="251658240" behindDoc="0" locked="0" layoutInCell="1" allowOverlap="0" wp14:anchorId="1A19E6F7" wp14:editId="6EBE5277">
          <wp:simplePos x="0" y="0"/>
          <wp:positionH relativeFrom="page">
            <wp:posOffset>1142365</wp:posOffset>
          </wp:positionH>
          <wp:positionV relativeFrom="page">
            <wp:posOffset>9742170</wp:posOffset>
          </wp:positionV>
          <wp:extent cx="409575" cy="504825"/>
          <wp:effectExtent l="0" t="0" r="9525" b="9525"/>
          <wp:wrapNone/>
          <wp:docPr id="3" name="obrázek 3" descr="znak_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_l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CB7">
      <w:t xml:space="preserve">                            </w:t>
    </w:r>
    <w:r w:rsidR="00B777D0" w:rsidRPr="00E322C1">
      <w:rPr>
        <w:rFonts w:ascii="Arial" w:hAnsi="Arial"/>
        <w:noProof/>
        <w:color w:val="244061"/>
        <w:sz w:val="16"/>
        <w:szCs w:val="13"/>
      </w:rPr>
      <w:t>Ministerstvo zdravotnictví, P</w:t>
    </w:r>
    <w:r w:rsidR="00A70546" w:rsidRPr="00E322C1">
      <w:rPr>
        <w:rFonts w:ascii="Arial" w:hAnsi="Arial"/>
        <w:noProof/>
        <w:color w:val="244061"/>
        <w:sz w:val="16"/>
        <w:szCs w:val="13"/>
      </w:rPr>
      <w:t>alackého náměstí 4, 128 01 Praha 2</w:t>
    </w:r>
  </w:p>
  <w:p w:rsidR="00B777D0" w:rsidRPr="00E322C1" w:rsidRDefault="00B777D0" w:rsidP="00B777D0">
    <w:pPr>
      <w:pStyle w:val="Zpat"/>
      <w:rPr>
        <w:rFonts w:ascii="Arial" w:hAnsi="Arial"/>
        <w:noProof/>
        <w:color w:val="244061"/>
        <w:sz w:val="16"/>
        <w:szCs w:val="13"/>
      </w:rPr>
    </w:pPr>
    <w:r w:rsidRPr="00E322C1">
      <w:rPr>
        <w:rFonts w:ascii="Arial" w:hAnsi="Arial"/>
        <w:noProof/>
        <w:color w:val="244061"/>
        <w:sz w:val="16"/>
        <w:szCs w:val="13"/>
      </w:rPr>
      <w:t xml:space="preserve">                                      tel./fax: +420 224 971 111, email: </w:t>
    </w:r>
    <w:hyperlink r:id="rId2" w:history="1">
      <w:r w:rsidRPr="00E322C1">
        <w:rPr>
          <w:rStyle w:val="Hypertextovodkaz"/>
          <w:rFonts w:ascii="Arial" w:hAnsi="Arial"/>
          <w:noProof/>
          <w:color w:val="244061"/>
          <w:sz w:val="16"/>
          <w:szCs w:val="13"/>
          <w:u w:val="none"/>
        </w:rPr>
        <w:t>mzcr@mzcr.cz</w:t>
      </w:r>
    </w:hyperlink>
    <w:r w:rsidRPr="00E322C1">
      <w:rPr>
        <w:rFonts w:ascii="Arial" w:hAnsi="Arial"/>
        <w:noProof/>
        <w:color w:val="244061"/>
        <w:sz w:val="16"/>
        <w:szCs w:val="13"/>
      </w:rPr>
      <w:t>, www.mzcr.cz</w:t>
    </w:r>
    <w:r w:rsidRPr="00E322C1">
      <w:rPr>
        <w:rFonts w:ascii="Arial" w:hAnsi="Arial"/>
        <w:noProof/>
        <w:color w:val="244061"/>
        <w:sz w:val="16"/>
        <w:szCs w:val="13"/>
      </w:rPr>
      <w:tab/>
    </w:r>
  </w:p>
  <w:p w:rsidR="003C7013" w:rsidRPr="00E322C1" w:rsidRDefault="003C7013" w:rsidP="00A70546">
    <w:pPr>
      <w:pStyle w:val="Zpat"/>
      <w:rPr>
        <w:color w:val="24406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CF" w:rsidRDefault="008C1ACF" w:rsidP="009D5D21">
      <w:r>
        <w:separator/>
      </w:r>
    </w:p>
  </w:footnote>
  <w:footnote w:type="continuationSeparator" w:id="0">
    <w:p w:rsidR="008C1ACF" w:rsidRDefault="008C1ACF" w:rsidP="009D5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AA" w:rsidRDefault="0074215E">
    <w:pPr>
      <w:pStyle w:val="Zhlav"/>
    </w:pPr>
    <w:r>
      <w:rPr>
        <w:noProof/>
      </w:rPr>
      <w:drawing>
        <wp:anchor distT="0" distB="0" distL="114300" distR="114300" simplePos="0" relativeHeight="251657216" behindDoc="0" locked="0" layoutInCell="1" allowOverlap="1" wp14:anchorId="720160CD" wp14:editId="39EB7CA7">
          <wp:simplePos x="0" y="0"/>
          <wp:positionH relativeFrom="column">
            <wp:posOffset>-487680</wp:posOffset>
          </wp:positionH>
          <wp:positionV relativeFrom="paragraph">
            <wp:posOffset>-230505</wp:posOffset>
          </wp:positionV>
          <wp:extent cx="3429000" cy="393700"/>
          <wp:effectExtent l="0" t="0" r="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AAA">
      <w:tab/>
    </w:r>
    <w:r w:rsidR="00C80AAA">
      <w:tab/>
    </w:r>
    <w:r w:rsidR="00C80AAA">
      <w:tab/>
    </w:r>
    <w:r w:rsidR="00C80AAA">
      <w:tab/>
    </w:r>
    <w:r w:rsidR="00C80AAA">
      <w:tab/>
    </w:r>
    <w:r w:rsidR="00C80AAA">
      <w:tab/>
    </w:r>
    <w:r w:rsidR="00C80AAA">
      <w:tab/>
    </w:r>
    <w:r w:rsidR="00C80AAA">
      <w:tab/>
    </w:r>
    <w:r w:rsidR="00C80AAA">
      <w:tab/>
    </w:r>
    <w:r w:rsidR="00C80AAA">
      <w:tab/>
    </w:r>
    <w:r w:rsidR="00C80AAA">
      <w:tab/>
    </w:r>
    <w:r w:rsidR="00C80AAA">
      <w:tab/>
    </w:r>
    <w:r w:rsidR="00C80AAA">
      <w:tab/>
    </w:r>
    <w:r w:rsidR="00C80AAA">
      <w:tab/>
    </w:r>
  </w:p>
  <w:p w:rsidR="00C80AAA" w:rsidRDefault="00C80A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E10"/>
    <w:multiLevelType w:val="hybridMultilevel"/>
    <w:tmpl w:val="A380E6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998308F"/>
    <w:multiLevelType w:val="hybridMultilevel"/>
    <w:tmpl w:val="0A7EF15C"/>
    <w:lvl w:ilvl="0" w:tplc="E9E45BC0">
      <w:start w:val="1"/>
      <w:numFmt w:val="bullet"/>
      <w:lvlText w:val=""/>
      <w:lvlJc w:val="left"/>
      <w:pPr>
        <w:tabs>
          <w:tab w:val="num" w:pos="720"/>
        </w:tabs>
        <w:ind w:left="720" w:hanging="360"/>
      </w:pPr>
      <w:rPr>
        <w:rFonts w:ascii="Wingdings" w:hAnsi="Wingdings" w:hint="default"/>
      </w:rPr>
    </w:lvl>
    <w:lvl w:ilvl="1" w:tplc="5C5CB602" w:tentative="1">
      <w:start w:val="1"/>
      <w:numFmt w:val="bullet"/>
      <w:lvlText w:val=""/>
      <w:lvlJc w:val="left"/>
      <w:pPr>
        <w:tabs>
          <w:tab w:val="num" w:pos="1440"/>
        </w:tabs>
        <w:ind w:left="1440" w:hanging="360"/>
      </w:pPr>
      <w:rPr>
        <w:rFonts w:ascii="Wingdings" w:hAnsi="Wingdings" w:hint="default"/>
      </w:rPr>
    </w:lvl>
    <w:lvl w:ilvl="2" w:tplc="0A8C1D66" w:tentative="1">
      <w:start w:val="1"/>
      <w:numFmt w:val="bullet"/>
      <w:lvlText w:val=""/>
      <w:lvlJc w:val="left"/>
      <w:pPr>
        <w:tabs>
          <w:tab w:val="num" w:pos="2160"/>
        </w:tabs>
        <w:ind w:left="2160" w:hanging="360"/>
      </w:pPr>
      <w:rPr>
        <w:rFonts w:ascii="Wingdings" w:hAnsi="Wingdings" w:hint="default"/>
      </w:rPr>
    </w:lvl>
    <w:lvl w:ilvl="3" w:tplc="1CD80C72" w:tentative="1">
      <w:start w:val="1"/>
      <w:numFmt w:val="bullet"/>
      <w:lvlText w:val=""/>
      <w:lvlJc w:val="left"/>
      <w:pPr>
        <w:tabs>
          <w:tab w:val="num" w:pos="2880"/>
        </w:tabs>
        <w:ind w:left="2880" w:hanging="360"/>
      </w:pPr>
      <w:rPr>
        <w:rFonts w:ascii="Wingdings" w:hAnsi="Wingdings" w:hint="default"/>
      </w:rPr>
    </w:lvl>
    <w:lvl w:ilvl="4" w:tplc="DEC6F1C2" w:tentative="1">
      <w:start w:val="1"/>
      <w:numFmt w:val="bullet"/>
      <w:lvlText w:val=""/>
      <w:lvlJc w:val="left"/>
      <w:pPr>
        <w:tabs>
          <w:tab w:val="num" w:pos="3600"/>
        </w:tabs>
        <w:ind w:left="3600" w:hanging="360"/>
      </w:pPr>
      <w:rPr>
        <w:rFonts w:ascii="Wingdings" w:hAnsi="Wingdings" w:hint="default"/>
      </w:rPr>
    </w:lvl>
    <w:lvl w:ilvl="5" w:tplc="36F856A4" w:tentative="1">
      <w:start w:val="1"/>
      <w:numFmt w:val="bullet"/>
      <w:lvlText w:val=""/>
      <w:lvlJc w:val="left"/>
      <w:pPr>
        <w:tabs>
          <w:tab w:val="num" w:pos="4320"/>
        </w:tabs>
        <w:ind w:left="4320" w:hanging="360"/>
      </w:pPr>
      <w:rPr>
        <w:rFonts w:ascii="Wingdings" w:hAnsi="Wingdings" w:hint="default"/>
      </w:rPr>
    </w:lvl>
    <w:lvl w:ilvl="6" w:tplc="4A1A53E6" w:tentative="1">
      <w:start w:val="1"/>
      <w:numFmt w:val="bullet"/>
      <w:lvlText w:val=""/>
      <w:lvlJc w:val="left"/>
      <w:pPr>
        <w:tabs>
          <w:tab w:val="num" w:pos="5040"/>
        </w:tabs>
        <w:ind w:left="5040" w:hanging="360"/>
      </w:pPr>
      <w:rPr>
        <w:rFonts w:ascii="Wingdings" w:hAnsi="Wingdings" w:hint="default"/>
      </w:rPr>
    </w:lvl>
    <w:lvl w:ilvl="7" w:tplc="1868A386" w:tentative="1">
      <w:start w:val="1"/>
      <w:numFmt w:val="bullet"/>
      <w:lvlText w:val=""/>
      <w:lvlJc w:val="left"/>
      <w:pPr>
        <w:tabs>
          <w:tab w:val="num" w:pos="5760"/>
        </w:tabs>
        <w:ind w:left="5760" w:hanging="360"/>
      </w:pPr>
      <w:rPr>
        <w:rFonts w:ascii="Wingdings" w:hAnsi="Wingdings" w:hint="default"/>
      </w:rPr>
    </w:lvl>
    <w:lvl w:ilvl="8" w:tplc="F09AE0C0" w:tentative="1">
      <w:start w:val="1"/>
      <w:numFmt w:val="bullet"/>
      <w:lvlText w:val=""/>
      <w:lvlJc w:val="left"/>
      <w:pPr>
        <w:tabs>
          <w:tab w:val="num" w:pos="6480"/>
        </w:tabs>
        <w:ind w:left="6480" w:hanging="360"/>
      </w:pPr>
      <w:rPr>
        <w:rFonts w:ascii="Wingdings" w:hAnsi="Wingdings" w:hint="default"/>
      </w:rPr>
    </w:lvl>
  </w:abstractNum>
  <w:abstractNum w:abstractNumId="2">
    <w:nsid w:val="13264B5B"/>
    <w:multiLevelType w:val="hybridMultilevel"/>
    <w:tmpl w:val="8E1433B6"/>
    <w:lvl w:ilvl="0" w:tplc="7A72041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nsid w:val="1D707899"/>
    <w:multiLevelType w:val="multilevel"/>
    <w:tmpl w:val="60B2EAFE"/>
    <w:lvl w:ilvl="0">
      <w:start w:val="4"/>
      <w:numFmt w:val="upperLetter"/>
      <w:lvlText w:val="%1."/>
      <w:lvlJc w:val="left"/>
      <w:pPr>
        <w:ind w:left="360" w:hanging="360"/>
      </w:pPr>
      <w:rPr>
        <w:rFonts w:hint="default"/>
      </w:rPr>
    </w:lvl>
    <w:lvl w:ilvl="1">
      <w:start w:val="8"/>
      <w:numFmt w:val="upp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FA70B47"/>
    <w:multiLevelType w:val="hybridMultilevel"/>
    <w:tmpl w:val="B7CCB260"/>
    <w:lvl w:ilvl="0" w:tplc="4052E84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6B0853"/>
    <w:multiLevelType w:val="hybridMultilevel"/>
    <w:tmpl w:val="34CCDDF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A8E3BC0"/>
    <w:multiLevelType w:val="multilevel"/>
    <w:tmpl w:val="4DC036F6"/>
    <w:lvl w:ilvl="0">
      <w:start w:val="2"/>
      <w:numFmt w:val="upperLetter"/>
      <w:lvlText w:val="%1."/>
      <w:lvlJc w:val="left"/>
      <w:pPr>
        <w:ind w:left="360" w:hanging="360"/>
      </w:pPr>
      <w:rPr>
        <w:rFonts w:hint="default"/>
        <w:b/>
      </w:rPr>
    </w:lvl>
    <w:lvl w:ilvl="1">
      <w:start w:val="5"/>
      <w:numFmt w:val="upp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C81110E"/>
    <w:multiLevelType w:val="hybridMultilevel"/>
    <w:tmpl w:val="CE5C2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D82435"/>
    <w:multiLevelType w:val="hybridMultilevel"/>
    <w:tmpl w:val="717C0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A64098"/>
    <w:multiLevelType w:val="hybridMultilevel"/>
    <w:tmpl w:val="8DF21AAA"/>
    <w:lvl w:ilvl="0" w:tplc="143E0780">
      <w:start w:val="11"/>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0">
    <w:nsid w:val="4B485783"/>
    <w:multiLevelType w:val="hybridMultilevel"/>
    <w:tmpl w:val="12547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3761A0C"/>
    <w:multiLevelType w:val="multilevel"/>
    <w:tmpl w:val="E8D4990A"/>
    <w:lvl w:ilvl="0">
      <w:start w:val="1"/>
      <w:numFmt w:val="upperLetter"/>
      <w:lvlText w:val="%1."/>
      <w:lvlJc w:val="left"/>
      <w:pPr>
        <w:ind w:left="360" w:hanging="360"/>
      </w:pPr>
      <w:rPr>
        <w:b/>
      </w:rPr>
    </w:lvl>
    <w:lvl w:ilvl="1">
      <w:start w:val="1"/>
      <w:numFmt w:val="upp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CA45B8E"/>
    <w:multiLevelType w:val="multilevel"/>
    <w:tmpl w:val="5E3E0A98"/>
    <w:lvl w:ilvl="0">
      <w:start w:val="3"/>
      <w:numFmt w:val="upperLetter"/>
      <w:lvlText w:val="%1."/>
      <w:lvlJc w:val="left"/>
      <w:pPr>
        <w:ind w:left="360" w:hanging="360"/>
      </w:pPr>
      <w:rPr>
        <w:rFonts w:hint="default"/>
      </w:rPr>
    </w:lvl>
    <w:lvl w:ilvl="1">
      <w:start w:val="6"/>
      <w:numFmt w:val="upp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D11298A"/>
    <w:multiLevelType w:val="hybridMultilevel"/>
    <w:tmpl w:val="BDC47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3"/>
  </w:num>
  <w:num w:numId="5">
    <w:abstractNumId w:val="10"/>
  </w:num>
  <w:num w:numId="6">
    <w:abstractNumId w:val="4"/>
  </w:num>
  <w:num w:numId="7">
    <w:abstractNumId w:val="11"/>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81"/>
    <w:rsid w:val="000077CE"/>
    <w:rsid w:val="00013408"/>
    <w:rsid w:val="00030B0F"/>
    <w:rsid w:val="00034B7C"/>
    <w:rsid w:val="00040A9B"/>
    <w:rsid w:val="000454FE"/>
    <w:rsid w:val="00046CA9"/>
    <w:rsid w:val="0005503F"/>
    <w:rsid w:val="000550FB"/>
    <w:rsid w:val="00061102"/>
    <w:rsid w:val="00065BD5"/>
    <w:rsid w:val="000736B3"/>
    <w:rsid w:val="00073B5C"/>
    <w:rsid w:val="00082C92"/>
    <w:rsid w:val="000A482B"/>
    <w:rsid w:val="000C0789"/>
    <w:rsid w:val="000D7A59"/>
    <w:rsid w:val="000E1909"/>
    <w:rsid w:val="000E1B87"/>
    <w:rsid w:val="000E32ED"/>
    <w:rsid w:val="000F593F"/>
    <w:rsid w:val="00100628"/>
    <w:rsid w:val="001063E0"/>
    <w:rsid w:val="001125F4"/>
    <w:rsid w:val="0014049A"/>
    <w:rsid w:val="00141684"/>
    <w:rsid w:val="001431F3"/>
    <w:rsid w:val="0014585F"/>
    <w:rsid w:val="00147DD5"/>
    <w:rsid w:val="0015060E"/>
    <w:rsid w:val="00171090"/>
    <w:rsid w:val="00174BD2"/>
    <w:rsid w:val="0018255F"/>
    <w:rsid w:val="001831D6"/>
    <w:rsid w:val="0019003D"/>
    <w:rsid w:val="001A0B8F"/>
    <w:rsid w:val="001A2732"/>
    <w:rsid w:val="001C4A70"/>
    <w:rsid w:val="001D6D3B"/>
    <w:rsid w:val="001E05AC"/>
    <w:rsid w:val="001F00E4"/>
    <w:rsid w:val="001F0CAE"/>
    <w:rsid w:val="001F11D4"/>
    <w:rsid w:val="002109E6"/>
    <w:rsid w:val="002123AB"/>
    <w:rsid w:val="0021429C"/>
    <w:rsid w:val="00225D09"/>
    <w:rsid w:val="00235E25"/>
    <w:rsid w:val="002440F6"/>
    <w:rsid w:val="00250752"/>
    <w:rsid w:val="002A0EE7"/>
    <w:rsid w:val="002A5102"/>
    <w:rsid w:val="002B0DC9"/>
    <w:rsid w:val="002B5D86"/>
    <w:rsid w:val="002B766D"/>
    <w:rsid w:val="002B7698"/>
    <w:rsid w:val="002C4166"/>
    <w:rsid w:val="002D2C9D"/>
    <w:rsid w:val="002D45F2"/>
    <w:rsid w:val="002D6E95"/>
    <w:rsid w:val="002E7049"/>
    <w:rsid w:val="00304EB7"/>
    <w:rsid w:val="00304F18"/>
    <w:rsid w:val="00313DB9"/>
    <w:rsid w:val="00314D36"/>
    <w:rsid w:val="0031585B"/>
    <w:rsid w:val="00327BB7"/>
    <w:rsid w:val="00335E71"/>
    <w:rsid w:val="00341BDD"/>
    <w:rsid w:val="00342D2B"/>
    <w:rsid w:val="00345EC0"/>
    <w:rsid w:val="003506C2"/>
    <w:rsid w:val="00356E88"/>
    <w:rsid w:val="00362C70"/>
    <w:rsid w:val="0036471D"/>
    <w:rsid w:val="00370909"/>
    <w:rsid w:val="00374F6A"/>
    <w:rsid w:val="00377982"/>
    <w:rsid w:val="0038197E"/>
    <w:rsid w:val="00382592"/>
    <w:rsid w:val="00382DA8"/>
    <w:rsid w:val="003951B3"/>
    <w:rsid w:val="00395731"/>
    <w:rsid w:val="003A3226"/>
    <w:rsid w:val="003A68BD"/>
    <w:rsid w:val="003B3C8B"/>
    <w:rsid w:val="003B5D51"/>
    <w:rsid w:val="003C029F"/>
    <w:rsid w:val="003C18ED"/>
    <w:rsid w:val="003C1E65"/>
    <w:rsid w:val="003C7013"/>
    <w:rsid w:val="003D4F32"/>
    <w:rsid w:val="003E476F"/>
    <w:rsid w:val="003F3CF8"/>
    <w:rsid w:val="00416EEB"/>
    <w:rsid w:val="00423C52"/>
    <w:rsid w:val="0042550B"/>
    <w:rsid w:val="00426535"/>
    <w:rsid w:val="004305F0"/>
    <w:rsid w:val="00431FF8"/>
    <w:rsid w:val="00440686"/>
    <w:rsid w:val="004470B5"/>
    <w:rsid w:val="00463C61"/>
    <w:rsid w:val="0047728F"/>
    <w:rsid w:val="004867DE"/>
    <w:rsid w:val="00494D58"/>
    <w:rsid w:val="004A0A9E"/>
    <w:rsid w:val="004A54F0"/>
    <w:rsid w:val="004B676C"/>
    <w:rsid w:val="004B7A08"/>
    <w:rsid w:val="004C1570"/>
    <w:rsid w:val="004D180E"/>
    <w:rsid w:val="004D3E43"/>
    <w:rsid w:val="004E454F"/>
    <w:rsid w:val="00505CE6"/>
    <w:rsid w:val="00506D26"/>
    <w:rsid w:val="00512B25"/>
    <w:rsid w:val="005135F4"/>
    <w:rsid w:val="005136CF"/>
    <w:rsid w:val="00532FDD"/>
    <w:rsid w:val="005441D4"/>
    <w:rsid w:val="00557C9E"/>
    <w:rsid w:val="00572719"/>
    <w:rsid w:val="00583592"/>
    <w:rsid w:val="005A0F68"/>
    <w:rsid w:val="005B6D83"/>
    <w:rsid w:val="005C45A0"/>
    <w:rsid w:val="005C5F95"/>
    <w:rsid w:val="005D5F79"/>
    <w:rsid w:val="005F2452"/>
    <w:rsid w:val="005F7333"/>
    <w:rsid w:val="00604CA3"/>
    <w:rsid w:val="00627775"/>
    <w:rsid w:val="0063569A"/>
    <w:rsid w:val="00642E20"/>
    <w:rsid w:val="006448F8"/>
    <w:rsid w:val="006616CE"/>
    <w:rsid w:val="00662A45"/>
    <w:rsid w:val="00670105"/>
    <w:rsid w:val="006949A4"/>
    <w:rsid w:val="006A0FA3"/>
    <w:rsid w:val="006A2540"/>
    <w:rsid w:val="006C1DDC"/>
    <w:rsid w:val="006C255E"/>
    <w:rsid w:val="006C32AE"/>
    <w:rsid w:val="006C4138"/>
    <w:rsid w:val="006C56A4"/>
    <w:rsid w:val="006E6656"/>
    <w:rsid w:val="006F152F"/>
    <w:rsid w:val="006F1DC3"/>
    <w:rsid w:val="006F560A"/>
    <w:rsid w:val="007002CA"/>
    <w:rsid w:val="00707041"/>
    <w:rsid w:val="0071130C"/>
    <w:rsid w:val="0071674C"/>
    <w:rsid w:val="00721A63"/>
    <w:rsid w:val="007379EA"/>
    <w:rsid w:val="0074215E"/>
    <w:rsid w:val="00757F6F"/>
    <w:rsid w:val="00765653"/>
    <w:rsid w:val="00765E04"/>
    <w:rsid w:val="00785359"/>
    <w:rsid w:val="00795884"/>
    <w:rsid w:val="007A26F8"/>
    <w:rsid w:val="007A582C"/>
    <w:rsid w:val="007B1902"/>
    <w:rsid w:val="007C0875"/>
    <w:rsid w:val="007C3392"/>
    <w:rsid w:val="007C53B5"/>
    <w:rsid w:val="007E737D"/>
    <w:rsid w:val="007F142A"/>
    <w:rsid w:val="007F202B"/>
    <w:rsid w:val="007F3284"/>
    <w:rsid w:val="007F65EC"/>
    <w:rsid w:val="00802F96"/>
    <w:rsid w:val="008065AE"/>
    <w:rsid w:val="00814EB8"/>
    <w:rsid w:val="008211DB"/>
    <w:rsid w:val="00823830"/>
    <w:rsid w:val="00826C3E"/>
    <w:rsid w:val="008277E3"/>
    <w:rsid w:val="008309B7"/>
    <w:rsid w:val="00833D79"/>
    <w:rsid w:val="00843211"/>
    <w:rsid w:val="008440EA"/>
    <w:rsid w:val="00863807"/>
    <w:rsid w:val="00873738"/>
    <w:rsid w:val="0087433C"/>
    <w:rsid w:val="008868EE"/>
    <w:rsid w:val="0089014D"/>
    <w:rsid w:val="00890435"/>
    <w:rsid w:val="008B76D3"/>
    <w:rsid w:val="008C0AD4"/>
    <w:rsid w:val="008C1ACF"/>
    <w:rsid w:val="008C23E8"/>
    <w:rsid w:val="008C6D03"/>
    <w:rsid w:val="008C6ED8"/>
    <w:rsid w:val="008D4A85"/>
    <w:rsid w:val="008D5332"/>
    <w:rsid w:val="008E1F6A"/>
    <w:rsid w:val="008F35A1"/>
    <w:rsid w:val="008F5820"/>
    <w:rsid w:val="00905664"/>
    <w:rsid w:val="0090583A"/>
    <w:rsid w:val="00914682"/>
    <w:rsid w:val="0091507C"/>
    <w:rsid w:val="00923524"/>
    <w:rsid w:val="00931A31"/>
    <w:rsid w:val="009359D2"/>
    <w:rsid w:val="00945ECD"/>
    <w:rsid w:val="00963181"/>
    <w:rsid w:val="00973B9A"/>
    <w:rsid w:val="00984B50"/>
    <w:rsid w:val="00987B35"/>
    <w:rsid w:val="009907E5"/>
    <w:rsid w:val="009A69A9"/>
    <w:rsid w:val="009B31AA"/>
    <w:rsid w:val="009B7C5F"/>
    <w:rsid w:val="009D1D08"/>
    <w:rsid w:val="009D4F78"/>
    <w:rsid w:val="009D5D21"/>
    <w:rsid w:val="009E7C8A"/>
    <w:rsid w:val="009F4F13"/>
    <w:rsid w:val="009F7253"/>
    <w:rsid w:val="00A2142A"/>
    <w:rsid w:val="00A273FD"/>
    <w:rsid w:val="00A40A3D"/>
    <w:rsid w:val="00A5563E"/>
    <w:rsid w:val="00A64705"/>
    <w:rsid w:val="00A70546"/>
    <w:rsid w:val="00A76B96"/>
    <w:rsid w:val="00A76FA6"/>
    <w:rsid w:val="00A80A1E"/>
    <w:rsid w:val="00A827E9"/>
    <w:rsid w:val="00A83C40"/>
    <w:rsid w:val="00A94B44"/>
    <w:rsid w:val="00AA2BD6"/>
    <w:rsid w:val="00AB56AE"/>
    <w:rsid w:val="00AC5BA5"/>
    <w:rsid w:val="00AD62B3"/>
    <w:rsid w:val="00AE3FBE"/>
    <w:rsid w:val="00AF027D"/>
    <w:rsid w:val="00B05D54"/>
    <w:rsid w:val="00B06D0C"/>
    <w:rsid w:val="00B10524"/>
    <w:rsid w:val="00B13A59"/>
    <w:rsid w:val="00B34553"/>
    <w:rsid w:val="00B54728"/>
    <w:rsid w:val="00B611BD"/>
    <w:rsid w:val="00B6228D"/>
    <w:rsid w:val="00B664D7"/>
    <w:rsid w:val="00B66953"/>
    <w:rsid w:val="00B777D0"/>
    <w:rsid w:val="00B919BC"/>
    <w:rsid w:val="00B96651"/>
    <w:rsid w:val="00BA36B7"/>
    <w:rsid w:val="00BA6D83"/>
    <w:rsid w:val="00BA6FB4"/>
    <w:rsid w:val="00BA7C2A"/>
    <w:rsid w:val="00BB52F2"/>
    <w:rsid w:val="00BB6047"/>
    <w:rsid w:val="00BC4CF2"/>
    <w:rsid w:val="00BD01F0"/>
    <w:rsid w:val="00BD36AE"/>
    <w:rsid w:val="00BD75ED"/>
    <w:rsid w:val="00BF14A2"/>
    <w:rsid w:val="00C303E6"/>
    <w:rsid w:val="00C33DCB"/>
    <w:rsid w:val="00C618A7"/>
    <w:rsid w:val="00C63C3A"/>
    <w:rsid w:val="00C6407A"/>
    <w:rsid w:val="00C73BA6"/>
    <w:rsid w:val="00C80AAA"/>
    <w:rsid w:val="00C817C7"/>
    <w:rsid w:val="00C853A0"/>
    <w:rsid w:val="00C87C1B"/>
    <w:rsid w:val="00CA1CDA"/>
    <w:rsid w:val="00CD2C81"/>
    <w:rsid w:val="00CD52D0"/>
    <w:rsid w:val="00CE4C70"/>
    <w:rsid w:val="00CF02D3"/>
    <w:rsid w:val="00CF45A4"/>
    <w:rsid w:val="00CF6D61"/>
    <w:rsid w:val="00D120CB"/>
    <w:rsid w:val="00D14FCB"/>
    <w:rsid w:val="00D17951"/>
    <w:rsid w:val="00D20338"/>
    <w:rsid w:val="00D216FA"/>
    <w:rsid w:val="00D219C1"/>
    <w:rsid w:val="00D32505"/>
    <w:rsid w:val="00D5320F"/>
    <w:rsid w:val="00D61C40"/>
    <w:rsid w:val="00D6245B"/>
    <w:rsid w:val="00D6279B"/>
    <w:rsid w:val="00D64635"/>
    <w:rsid w:val="00D75092"/>
    <w:rsid w:val="00D84364"/>
    <w:rsid w:val="00D9234D"/>
    <w:rsid w:val="00DA2E3F"/>
    <w:rsid w:val="00DA7A8D"/>
    <w:rsid w:val="00DB4605"/>
    <w:rsid w:val="00DB6917"/>
    <w:rsid w:val="00DF12AB"/>
    <w:rsid w:val="00DF3C12"/>
    <w:rsid w:val="00E062CF"/>
    <w:rsid w:val="00E15E74"/>
    <w:rsid w:val="00E212B5"/>
    <w:rsid w:val="00E302FA"/>
    <w:rsid w:val="00E322C1"/>
    <w:rsid w:val="00E35812"/>
    <w:rsid w:val="00E40EFE"/>
    <w:rsid w:val="00E40F3A"/>
    <w:rsid w:val="00E43FBD"/>
    <w:rsid w:val="00E51729"/>
    <w:rsid w:val="00E71918"/>
    <w:rsid w:val="00E86228"/>
    <w:rsid w:val="00E91D0B"/>
    <w:rsid w:val="00E925AE"/>
    <w:rsid w:val="00EA551A"/>
    <w:rsid w:val="00EB4724"/>
    <w:rsid w:val="00EB618E"/>
    <w:rsid w:val="00ED0ECD"/>
    <w:rsid w:val="00ED14CD"/>
    <w:rsid w:val="00ED45C9"/>
    <w:rsid w:val="00ED575B"/>
    <w:rsid w:val="00EE49F4"/>
    <w:rsid w:val="00EF3C6B"/>
    <w:rsid w:val="00F2606D"/>
    <w:rsid w:val="00F34DBC"/>
    <w:rsid w:val="00F4099A"/>
    <w:rsid w:val="00F4199F"/>
    <w:rsid w:val="00F53012"/>
    <w:rsid w:val="00F53018"/>
    <w:rsid w:val="00F541F9"/>
    <w:rsid w:val="00F75B11"/>
    <w:rsid w:val="00F91A69"/>
    <w:rsid w:val="00FA157E"/>
    <w:rsid w:val="00FA2400"/>
    <w:rsid w:val="00FB287E"/>
    <w:rsid w:val="00FC4997"/>
    <w:rsid w:val="00FD2628"/>
    <w:rsid w:val="00FD7CB7"/>
    <w:rsid w:val="00FD7CC6"/>
    <w:rsid w:val="00FE4B5E"/>
    <w:rsid w:val="00FE778F"/>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zh-TW"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303E6"/>
    <w:pPr>
      <w:spacing w:before="120" w:after="120"/>
    </w:pPr>
    <w:rPr>
      <w:sz w:val="24"/>
      <w:szCs w:val="24"/>
      <w:lang w:eastAsia="cs-CZ"/>
    </w:rPr>
  </w:style>
  <w:style w:type="paragraph" w:styleId="Nadpis1">
    <w:name w:val="heading 1"/>
    <w:basedOn w:val="Normln"/>
    <w:next w:val="Normln"/>
    <w:qFormat/>
    <w:rsid w:val="00BA6D8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3B5D51"/>
    <w:pPr>
      <w:widowControl w:val="0"/>
      <w:autoSpaceDE w:val="0"/>
      <w:autoSpaceDN w:val="0"/>
      <w:adjustRightInd w:val="0"/>
      <w:ind w:left="838"/>
      <w:outlineLvl w:val="1"/>
    </w:pPr>
    <w:rPr>
      <w:b/>
      <w:bCs/>
      <w:color w:val="000000"/>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061102"/>
    <w:rPr>
      <w:rFonts w:ascii="Arial Narrow" w:hAnsi="Arial Narrow"/>
      <w:b/>
      <w:bCs/>
      <w:sz w:val="22"/>
    </w:rPr>
  </w:style>
  <w:style w:type="paragraph" w:styleId="Zhlav">
    <w:name w:val="header"/>
    <w:basedOn w:val="Normln"/>
    <w:link w:val="ZhlavChar"/>
    <w:uiPriority w:val="99"/>
    <w:rsid w:val="00061102"/>
    <w:pPr>
      <w:tabs>
        <w:tab w:val="center" w:pos="4536"/>
        <w:tab w:val="right" w:pos="9072"/>
      </w:tabs>
    </w:pPr>
  </w:style>
  <w:style w:type="character" w:customStyle="1" w:styleId="Nadpis2Char">
    <w:name w:val="Nadpis 2 Char"/>
    <w:link w:val="Nadpis2"/>
    <w:uiPriority w:val="99"/>
    <w:rsid w:val="003B5D51"/>
    <w:rPr>
      <w:b/>
      <w:bCs/>
      <w:color w:val="000000"/>
      <w:sz w:val="40"/>
      <w:szCs w:val="40"/>
    </w:rPr>
  </w:style>
  <w:style w:type="paragraph" w:styleId="Prosttext">
    <w:name w:val="Plain Text"/>
    <w:basedOn w:val="Normln"/>
    <w:link w:val="ProsttextChar"/>
    <w:rsid w:val="00E91D0B"/>
    <w:rPr>
      <w:rFonts w:ascii="Courier New" w:hAnsi="Courier New" w:cs="Courier New"/>
      <w:sz w:val="20"/>
      <w:szCs w:val="20"/>
    </w:rPr>
  </w:style>
  <w:style w:type="character" w:customStyle="1" w:styleId="ProsttextChar">
    <w:name w:val="Prostý text Char"/>
    <w:link w:val="Prosttext"/>
    <w:rsid w:val="00E91D0B"/>
    <w:rPr>
      <w:rFonts w:ascii="Courier New" w:hAnsi="Courier New" w:cs="Courier New"/>
    </w:rPr>
  </w:style>
  <w:style w:type="paragraph" w:styleId="Zpat">
    <w:name w:val="footer"/>
    <w:basedOn w:val="Normln"/>
    <w:link w:val="ZpatChar"/>
    <w:rsid w:val="009D5D21"/>
    <w:pPr>
      <w:tabs>
        <w:tab w:val="center" w:pos="4536"/>
        <w:tab w:val="right" w:pos="9072"/>
      </w:tabs>
    </w:pPr>
  </w:style>
  <w:style w:type="character" w:customStyle="1" w:styleId="ZpatChar">
    <w:name w:val="Zápatí Char"/>
    <w:link w:val="Zpat"/>
    <w:rsid w:val="009D5D21"/>
    <w:rPr>
      <w:sz w:val="24"/>
      <w:szCs w:val="24"/>
    </w:rPr>
  </w:style>
  <w:style w:type="paragraph" w:styleId="Textbubliny">
    <w:name w:val="Balloon Text"/>
    <w:basedOn w:val="Normln"/>
    <w:semiHidden/>
    <w:rsid w:val="00C618A7"/>
    <w:rPr>
      <w:rFonts w:ascii="Tahoma" w:hAnsi="Tahoma" w:cs="Tahoma"/>
      <w:sz w:val="16"/>
      <w:szCs w:val="16"/>
    </w:rPr>
  </w:style>
  <w:style w:type="paragraph" w:customStyle="1" w:styleId="Odstavecseseznamem1">
    <w:name w:val="Odstavec se seznamem1"/>
    <w:basedOn w:val="Normln"/>
    <w:qFormat/>
    <w:rsid w:val="00BA6D83"/>
    <w:pPr>
      <w:ind w:left="720"/>
      <w:contextualSpacing/>
    </w:pPr>
    <w:rPr>
      <w:rFonts w:eastAsia="Cambria"/>
      <w:sz w:val="22"/>
      <w:lang w:eastAsia="en-US"/>
    </w:rPr>
  </w:style>
  <w:style w:type="character" w:styleId="Odkaznakoment">
    <w:name w:val="annotation reference"/>
    <w:semiHidden/>
    <w:rsid w:val="00342D2B"/>
    <w:rPr>
      <w:sz w:val="16"/>
      <w:szCs w:val="16"/>
    </w:rPr>
  </w:style>
  <w:style w:type="paragraph" w:styleId="Textkomente">
    <w:name w:val="annotation text"/>
    <w:basedOn w:val="Normln"/>
    <w:semiHidden/>
    <w:rsid w:val="00342D2B"/>
    <w:rPr>
      <w:sz w:val="20"/>
      <w:szCs w:val="20"/>
    </w:rPr>
  </w:style>
  <w:style w:type="paragraph" w:styleId="Pedmtkomente">
    <w:name w:val="annotation subject"/>
    <w:basedOn w:val="Textkomente"/>
    <w:next w:val="Textkomente"/>
    <w:semiHidden/>
    <w:rsid w:val="00342D2B"/>
    <w:rPr>
      <w:b/>
      <w:bCs/>
    </w:rPr>
  </w:style>
  <w:style w:type="paragraph" w:styleId="Rozloendokumentu">
    <w:name w:val="Document Map"/>
    <w:basedOn w:val="Normln"/>
    <w:semiHidden/>
    <w:rsid w:val="00642E20"/>
    <w:pPr>
      <w:shd w:val="clear" w:color="auto" w:fill="000080"/>
    </w:pPr>
    <w:rPr>
      <w:rFonts w:ascii="Tahoma" w:hAnsi="Tahoma" w:cs="Tahoma"/>
      <w:sz w:val="20"/>
      <w:szCs w:val="20"/>
    </w:rPr>
  </w:style>
  <w:style w:type="character" w:customStyle="1" w:styleId="ZhlavChar">
    <w:name w:val="Záhlaví Char"/>
    <w:link w:val="Zhlav"/>
    <w:uiPriority w:val="99"/>
    <w:rsid w:val="00C80AAA"/>
    <w:rPr>
      <w:sz w:val="24"/>
      <w:szCs w:val="24"/>
    </w:rPr>
  </w:style>
  <w:style w:type="character" w:styleId="Hypertextovodkaz">
    <w:name w:val="Hyperlink"/>
    <w:rsid w:val="00B777D0"/>
    <w:rPr>
      <w:color w:val="0000FF"/>
      <w:u w:val="single"/>
    </w:rPr>
  </w:style>
  <w:style w:type="paragraph" w:styleId="Odstavecseseznamem">
    <w:name w:val="List Paragraph"/>
    <w:basedOn w:val="Normln"/>
    <w:uiPriority w:val="34"/>
    <w:qFormat/>
    <w:rsid w:val="0074215E"/>
    <w:pPr>
      <w:spacing w:after="200" w:line="276" w:lineRule="auto"/>
      <w:ind w:left="720"/>
      <w:contextualSpacing/>
    </w:pPr>
    <w:rPr>
      <w:rFonts w:ascii="Arial" w:eastAsia="Calibri" w:hAnsi="Arial"/>
      <w:sz w:val="20"/>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zh-TW"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303E6"/>
    <w:pPr>
      <w:spacing w:before="120" w:after="120"/>
    </w:pPr>
    <w:rPr>
      <w:sz w:val="24"/>
      <w:szCs w:val="24"/>
      <w:lang w:eastAsia="cs-CZ"/>
    </w:rPr>
  </w:style>
  <w:style w:type="paragraph" w:styleId="Nadpis1">
    <w:name w:val="heading 1"/>
    <w:basedOn w:val="Normln"/>
    <w:next w:val="Normln"/>
    <w:qFormat/>
    <w:rsid w:val="00BA6D8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3B5D51"/>
    <w:pPr>
      <w:widowControl w:val="0"/>
      <w:autoSpaceDE w:val="0"/>
      <w:autoSpaceDN w:val="0"/>
      <w:adjustRightInd w:val="0"/>
      <w:ind w:left="838"/>
      <w:outlineLvl w:val="1"/>
    </w:pPr>
    <w:rPr>
      <w:b/>
      <w:bCs/>
      <w:color w:val="000000"/>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061102"/>
    <w:rPr>
      <w:rFonts w:ascii="Arial Narrow" w:hAnsi="Arial Narrow"/>
      <w:b/>
      <w:bCs/>
      <w:sz w:val="22"/>
    </w:rPr>
  </w:style>
  <w:style w:type="paragraph" w:styleId="Zhlav">
    <w:name w:val="header"/>
    <w:basedOn w:val="Normln"/>
    <w:link w:val="ZhlavChar"/>
    <w:uiPriority w:val="99"/>
    <w:rsid w:val="00061102"/>
    <w:pPr>
      <w:tabs>
        <w:tab w:val="center" w:pos="4536"/>
        <w:tab w:val="right" w:pos="9072"/>
      </w:tabs>
    </w:pPr>
  </w:style>
  <w:style w:type="character" w:customStyle="1" w:styleId="Nadpis2Char">
    <w:name w:val="Nadpis 2 Char"/>
    <w:link w:val="Nadpis2"/>
    <w:uiPriority w:val="99"/>
    <w:rsid w:val="003B5D51"/>
    <w:rPr>
      <w:b/>
      <w:bCs/>
      <w:color w:val="000000"/>
      <w:sz w:val="40"/>
      <w:szCs w:val="40"/>
    </w:rPr>
  </w:style>
  <w:style w:type="paragraph" w:styleId="Prosttext">
    <w:name w:val="Plain Text"/>
    <w:basedOn w:val="Normln"/>
    <w:link w:val="ProsttextChar"/>
    <w:rsid w:val="00E91D0B"/>
    <w:rPr>
      <w:rFonts w:ascii="Courier New" w:hAnsi="Courier New" w:cs="Courier New"/>
      <w:sz w:val="20"/>
      <w:szCs w:val="20"/>
    </w:rPr>
  </w:style>
  <w:style w:type="character" w:customStyle="1" w:styleId="ProsttextChar">
    <w:name w:val="Prostý text Char"/>
    <w:link w:val="Prosttext"/>
    <w:rsid w:val="00E91D0B"/>
    <w:rPr>
      <w:rFonts w:ascii="Courier New" w:hAnsi="Courier New" w:cs="Courier New"/>
    </w:rPr>
  </w:style>
  <w:style w:type="paragraph" w:styleId="Zpat">
    <w:name w:val="footer"/>
    <w:basedOn w:val="Normln"/>
    <w:link w:val="ZpatChar"/>
    <w:rsid w:val="009D5D21"/>
    <w:pPr>
      <w:tabs>
        <w:tab w:val="center" w:pos="4536"/>
        <w:tab w:val="right" w:pos="9072"/>
      </w:tabs>
    </w:pPr>
  </w:style>
  <w:style w:type="character" w:customStyle="1" w:styleId="ZpatChar">
    <w:name w:val="Zápatí Char"/>
    <w:link w:val="Zpat"/>
    <w:rsid w:val="009D5D21"/>
    <w:rPr>
      <w:sz w:val="24"/>
      <w:szCs w:val="24"/>
    </w:rPr>
  </w:style>
  <w:style w:type="paragraph" w:styleId="Textbubliny">
    <w:name w:val="Balloon Text"/>
    <w:basedOn w:val="Normln"/>
    <w:semiHidden/>
    <w:rsid w:val="00C618A7"/>
    <w:rPr>
      <w:rFonts w:ascii="Tahoma" w:hAnsi="Tahoma" w:cs="Tahoma"/>
      <w:sz w:val="16"/>
      <w:szCs w:val="16"/>
    </w:rPr>
  </w:style>
  <w:style w:type="paragraph" w:customStyle="1" w:styleId="Odstavecseseznamem1">
    <w:name w:val="Odstavec se seznamem1"/>
    <w:basedOn w:val="Normln"/>
    <w:qFormat/>
    <w:rsid w:val="00BA6D83"/>
    <w:pPr>
      <w:ind w:left="720"/>
      <w:contextualSpacing/>
    </w:pPr>
    <w:rPr>
      <w:rFonts w:eastAsia="Cambria"/>
      <w:sz w:val="22"/>
      <w:lang w:eastAsia="en-US"/>
    </w:rPr>
  </w:style>
  <w:style w:type="character" w:styleId="Odkaznakoment">
    <w:name w:val="annotation reference"/>
    <w:semiHidden/>
    <w:rsid w:val="00342D2B"/>
    <w:rPr>
      <w:sz w:val="16"/>
      <w:szCs w:val="16"/>
    </w:rPr>
  </w:style>
  <w:style w:type="paragraph" w:styleId="Textkomente">
    <w:name w:val="annotation text"/>
    <w:basedOn w:val="Normln"/>
    <w:semiHidden/>
    <w:rsid w:val="00342D2B"/>
    <w:rPr>
      <w:sz w:val="20"/>
      <w:szCs w:val="20"/>
    </w:rPr>
  </w:style>
  <w:style w:type="paragraph" w:styleId="Pedmtkomente">
    <w:name w:val="annotation subject"/>
    <w:basedOn w:val="Textkomente"/>
    <w:next w:val="Textkomente"/>
    <w:semiHidden/>
    <w:rsid w:val="00342D2B"/>
    <w:rPr>
      <w:b/>
      <w:bCs/>
    </w:rPr>
  </w:style>
  <w:style w:type="paragraph" w:styleId="Rozloendokumentu">
    <w:name w:val="Document Map"/>
    <w:basedOn w:val="Normln"/>
    <w:semiHidden/>
    <w:rsid w:val="00642E20"/>
    <w:pPr>
      <w:shd w:val="clear" w:color="auto" w:fill="000080"/>
    </w:pPr>
    <w:rPr>
      <w:rFonts w:ascii="Tahoma" w:hAnsi="Tahoma" w:cs="Tahoma"/>
      <w:sz w:val="20"/>
      <w:szCs w:val="20"/>
    </w:rPr>
  </w:style>
  <w:style w:type="character" w:customStyle="1" w:styleId="ZhlavChar">
    <w:name w:val="Záhlaví Char"/>
    <w:link w:val="Zhlav"/>
    <w:uiPriority w:val="99"/>
    <w:rsid w:val="00C80AAA"/>
    <w:rPr>
      <w:sz w:val="24"/>
      <w:szCs w:val="24"/>
    </w:rPr>
  </w:style>
  <w:style w:type="character" w:styleId="Hypertextovodkaz">
    <w:name w:val="Hyperlink"/>
    <w:rsid w:val="00B777D0"/>
    <w:rPr>
      <w:color w:val="0000FF"/>
      <w:u w:val="single"/>
    </w:rPr>
  </w:style>
  <w:style w:type="paragraph" w:styleId="Odstavecseseznamem">
    <w:name w:val="List Paragraph"/>
    <w:basedOn w:val="Normln"/>
    <w:uiPriority w:val="34"/>
    <w:qFormat/>
    <w:rsid w:val="0074215E"/>
    <w:pPr>
      <w:spacing w:after="200" w:line="276" w:lineRule="auto"/>
      <w:ind w:left="720"/>
      <w:contextualSpacing/>
    </w:pPr>
    <w:rPr>
      <w:rFonts w:ascii="Arial" w:eastAsia="Calibri" w:hAnsi="Arial"/>
      <w:sz w:val="2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2493">
      <w:bodyDiv w:val="1"/>
      <w:marLeft w:val="0"/>
      <w:marRight w:val="0"/>
      <w:marTop w:val="0"/>
      <w:marBottom w:val="0"/>
      <w:divBdr>
        <w:top w:val="none" w:sz="0" w:space="0" w:color="auto"/>
        <w:left w:val="none" w:sz="0" w:space="0" w:color="auto"/>
        <w:bottom w:val="none" w:sz="0" w:space="0" w:color="auto"/>
        <w:right w:val="none" w:sz="0" w:space="0" w:color="auto"/>
      </w:divBdr>
    </w:div>
    <w:div w:id="211232581">
      <w:bodyDiv w:val="1"/>
      <w:marLeft w:val="0"/>
      <w:marRight w:val="0"/>
      <w:marTop w:val="0"/>
      <w:marBottom w:val="0"/>
      <w:divBdr>
        <w:top w:val="none" w:sz="0" w:space="0" w:color="auto"/>
        <w:left w:val="none" w:sz="0" w:space="0" w:color="auto"/>
        <w:bottom w:val="none" w:sz="0" w:space="0" w:color="auto"/>
        <w:right w:val="none" w:sz="0" w:space="0" w:color="auto"/>
      </w:divBdr>
      <w:divsChild>
        <w:div w:id="2044863551">
          <w:marLeft w:val="0"/>
          <w:marRight w:val="0"/>
          <w:marTop w:val="0"/>
          <w:marBottom w:val="0"/>
          <w:divBdr>
            <w:top w:val="none" w:sz="0" w:space="0" w:color="auto"/>
            <w:left w:val="none" w:sz="0" w:space="0" w:color="auto"/>
            <w:bottom w:val="none" w:sz="0" w:space="0" w:color="auto"/>
            <w:right w:val="none" w:sz="0" w:space="0" w:color="auto"/>
          </w:divBdr>
          <w:divsChild>
            <w:div w:id="1532374852">
              <w:marLeft w:val="0"/>
              <w:marRight w:val="0"/>
              <w:marTop w:val="0"/>
              <w:marBottom w:val="0"/>
              <w:divBdr>
                <w:top w:val="none" w:sz="0" w:space="0" w:color="auto"/>
                <w:left w:val="none" w:sz="0" w:space="0" w:color="auto"/>
                <w:bottom w:val="none" w:sz="0" w:space="0" w:color="auto"/>
                <w:right w:val="none" w:sz="0" w:space="0" w:color="auto"/>
              </w:divBdr>
            </w:div>
            <w:div w:id="16791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7859">
      <w:bodyDiv w:val="1"/>
      <w:marLeft w:val="0"/>
      <w:marRight w:val="0"/>
      <w:marTop w:val="0"/>
      <w:marBottom w:val="0"/>
      <w:divBdr>
        <w:top w:val="none" w:sz="0" w:space="0" w:color="auto"/>
        <w:left w:val="none" w:sz="0" w:space="0" w:color="auto"/>
        <w:bottom w:val="none" w:sz="0" w:space="0" w:color="auto"/>
        <w:right w:val="none" w:sz="0" w:space="0" w:color="auto"/>
      </w:divBdr>
      <w:divsChild>
        <w:div w:id="1303774301">
          <w:marLeft w:val="1166"/>
          <w:marRight w:val="0"/>
          <w:marTop w:val="96"/>
          <w:marBottom w:val="0"/>
          <w:divBdr>
            <w:top w:val="none" w:sz="0" w:space="0" w:color="auto"/>
            <w:left w:val="none" w:sz="0" w:space="0" w:color="auto"/>
            <w:bottom w:val="none" w:sz="0" w:space="0" w:color="auto"/>
            <w:right w:val="none" w:sz="0" w:space="0" w:color="auto"/>
          </w:divBdr>
        </w:div>
      </w:divsChild>
    </w:div>
    <w:div w:id="2080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zcr@mzcr.cz"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D9F19A7DADE34A824E5CEB1B6401F8" ma:contentTypeVersion="0" ma:contentTypeDescription="Vytvořit nový dokument" ma:contentTypeScope="" ma:versionID="4b9f7f072ef7cd4c80f7adf201ce417c">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E17E-4D76-46C3-8ECF-47AF884CA78B}">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93E5A1D5-3159-4B60-919E-E29FAE64C83E}">
  <ds:schemaRefs>
    <ds:schemaRef ds:uri="http://schemas.microsoft.com/sharepoint/v3/contenttype/forms"/>
  </ds:schemaRefs>
</ds:datastoreItem>
</file>

<file path=customXml/itemProps3.xml><?xml version="1.0" encoding="utf-8"?>
<ds:datastoreItem xmlns:ds="http://schemas.openxmlformats.org/officeDocument/2006/customXml" ds:itemID="{FFE19909-1209-475D-8671-E6DFA296B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423F74-0E71-4AE6-A380-2304174F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9436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LinksUpToDate>false</LinksUpToDate>
  <CharactersWithSpaces>11013</CharactersWithSpaces>
  <SharedDoc>false</SharedDoc>
  <HLinks>
    <vt:vector size="6" baseType="variant">
      <vt:variant>
        <vt:i4>4653154</vt:i4>
      </vt:variant>
      <vt:variant>
        <vt:i4>0</vt:i4>
      </vt:variant>
      <vt:variant>
        <vt:i4>0</vt:i4>
      </vt:variant>
      <vt:variant>
        <vt:i4>5</vt:i4>
      </vt:variant>
      <vt:variant>
        <vt:lpwstr>mailto:mzcr@mzcr.cz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
  <cp:lastModifiedBy/>
  <cp:revision>1</cp:revision>
  <cp:lastPrinted>2013-04-15T09:13:00Z</cp:lastPrinted>
  <dcterms:created xsi:type="dcterms:W3CDTF">2019-02-11T15:34:00Z</dcterms:created>
  <dcterms:modified xsi:type="dcterms:W3CDTF">2019-02-12T08:29:00Z</dcterms:modified>
</cp:coreProperties>
</file>