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6AC3" w14:textId="77777777" w:rsidR="0048441F" w:rsidRPr="0063297E" w:rsidRDefault="0048441F" w:rsidP="0048441F">
      <w:pPr>
        <w:spacing w:before="120" w:after="120" w:line="360" w:lineRule="auto"/>
        <w:jc w:val="center"/>
        <w:rPr>
          <w:b/>
        </w:rPr>
      </w:pPr>
      <w:r w:rsidRPr="0063297E">
        <w:rPr>
          <w:b/>
        </w:rPr>
        <w:t>Setkání pracovní skupiny MZ pro koordinaci spolupráce s OECD</w:t>
      </w:r>
    </w:p>
    <w:p w14:paraId="023CA77D" w14:textId="77777777" w:rsidR="0048441F" w:rsidRPr="0063297E" w:rsidRDefault="0048441F" w:rsidP="0048441F">
      <w:pPr>
        <w:spacing w:before="120" w:after="120" w:line="360" w:lineRule="auto"/>
        <w:jc w:val="center"/>
      </w:pPr>
      <w:r w:rsidRPr="0063297E">
        <w:t>(30. 8. 2019)</w:t>
      </w:r>
    </w:p>
    <w:p w14:paraId="6BF2286B" w14:textId="1689E328" w:rsidR="0048441F" w:rsidRPr="0063297E" w:rsidRDefault="0048441F" w:rsidP="0048441F">
      <w:pPr>
        <w:spacing w:before="120" w:after="120" w:line="360" w:lineRule="auto"/>
      </w:pPr>
      <w:r w:rsidRPr="0063297E">
        <w:t>Dne 30. 8. 2019 proběhlo v pořadí druhé setkání pracovní skupiny MZ pro koordinaci spolupráce s OECD (</w:t>
      </w:r>
      <w:r w:rsidR="00D64313">
        <w:t>dále jen „</w:t>
      </w:r>
      <w:r w:rsidRPr="0063297E">
        <w:t>PS OECD</w:t>
      </w:r>
      <w:r w:rsidR="00D64313">
        <w:t>“</w:t>
      </w:r>
      <w:r w:rsidRPr="0063297E">
        <w:t xml:space="preserve">). Cílem jednání bylo jednak </w:t>
      </w:r>
      <w:r w:rsidRPr="00DB1293">
        <w:rPr>
          <w:b/>
        </w:rPr>
        <w:t>shrnout současné aktivity</w:t>
      </w:r>
      <w:r w:rsidRPr="0063297E">
        <w:t xml:space="preserve"> MZ v OECD a také </w:t>
      </w:r>
      <w:r w:rsidRPr="00DB1293">
        <w:rPr>
          <w:b/>
        </w:rPr>
        <w:t>vytvořit prostor pro diskuzi o prioritních tématech na další období</w:t>
      </w:r>
      <w:r w:rsidRPr="0063297E">
        <w:t xml:space="preserve"> včetně případného zapojení </w:t>
      </w:r>
      <w:r w:rsidR="00B16F24">
        <w:t>do</w:t>
      </w:r>
      <w:r w:rsidRPr="0063297E">
        <w:t> nových či probíhajících projekt</w:t>
      </w:r>
      <w:r w:rsidR="00B16F24">
        <w:t>ů</w:t>
      </w:r>
      <w:r w:rsidRPr="0063297E">
        <w:t xml:space="preserve"> Zdravotnického výboru</w:t>
      </w:r>
      <w:r w:rsidR="00D64313">
        <w:t xml:space="preserve"> </w:t>
      </w:r>
      <w:r w:rsidR="00D64313">
        <w:rPr>
          <w:bCs/>
        </w:rPr>
        <w:t>(dále jen „HC“)</w:t>
      </w:r>
      <w:r w:rsidRPr="0063297E">
        <w:t>. Předmětem jednání bylo i nastavení koordinace aktivit na úrovni MZ tak, aby bylo zapojení resortu co nejefektivněji využito.</w:t>
      </w:r>
    </w:p>
    <w:p w14:paraId="4405920D" w14:textId="01CBFC9E" w:rsidR="00636B0B" w:rsidRPr="0063297E" w:rsidRDefault="0048441F" w:rsidP="0048441F">
      <w:pPr>
        <w:spacing w:before="120" w:after="120" w:line="360" w:lineRule="auto"/>
      </w:pPr>
      <w:r w:rsidRPr="0063297E">
        <w:t>Předseda PS OECD, náměstek R. Policar,</w:t>
      </w:r>
      <w:r w:rsidR="00636B0B" w:rsidRPr="0063297E">
        <w:t xml:space="preserve"> připomněl, že spolupráce s OECD je jednou z priorit pana ministra. Agenda OECD v oblasti zdraví, respektive míra zapojení re</w:t>
      </w:r>
      <w:r w:rsidR="00800290">
        <w:t>s</w:t>
      </w:r>
      <w:r w:rsidR="00636B0B" w:rsidRPr="0063297E">
        <w:t>ortu se neustále rozrůstá. V minulém roce resort intenzivně pracoval na přípravě zdravotnické kapitoly OECD Hospodářského přehledu. Příští rok na jaře dojde k vyhodnocení plnění navržených doporučení OECD. Setkání je příležitostí stanovit si oblasti zájmu</w:t>
      </w:r>
      <w:r w:rsidR="00914D89">
        <w:t>,</w:t>
      </w:r>
      <w:r w:rsidR="00636B0B" w:rsidRPr="0063297E">
        <w:t xml:space="preserve"> na které se chceme dále zaměřit, abychom mohli lépe využít expertízu OECD.</w:t>
      </w:r>
    </w:p>
    <w:p w14:paraId="24C0CCF9" w14:textId="77777777" w:rsidR="0037586E" w:rsidRPr="0063297E" w:rsidRDefault="00A56DC5" w:rsidP="0048441F">
      <w:pPr>
        <w:spacing w:before="120" w:after="120" w:line="360" w:lineRule="auto"/>
      </w:pPr>
      <w:r w:rsidRPr="0063297E">
        <w:t xml:space="preserve">Na úvod jednání byly představeny </w:t>
      </w:r>
      <w:r w:rsidR="00112206" w:rsidRPr="0063297E">
        <w:t xml:space="preserve">vybrané </w:t>
      </w:r>
      <w:r w:rsidRPr="0063297E">
        <w:t>oblasti práce</w:t>
      </w:r>
      <w:r w:rsidR="00112206" w:rsidRPr="0063297E">
        <w:t xml:space="preserve"> v oblasti zdravotnictví</w:t>
      </w:r>
      <w:r w:rsidR="00112206" w:rsidRPr="0063297E">
        <w:rPr>
          <w:rStyle w:val="Znakapoznpodarou"/>
        </w:rPr>
        <w:footnoteReference w:id="1"/>
      </w:r>
      <w:r w:rsidR="00112206" w:rsidRPr="0063297E">
        <w:t>.</w:t>
      </w:r>
      <w:r w:rsidR="00FA036C" w:rsidRPr="0063297E">
        <w:t xml:space="preserve"> </w:t>
      </w:r>
      <w:r w:rsidR="0037586E" w:rsidRPr="0063297E">
        <w:rPr>
          <w:bCs/>
        </w:rPr>
        <w:t xml:space="preserve">Zastřešujícím cílem aktivit </w:t>
      </w:r>
      <w:r w:rsidR="00D64313">
        <w:rPr>
          <w:bCs/>
        </w:rPr>
        <w:t xml:space="preserve">HC </w:t>
      </w:r>
      <w:r w:rsidR="0037586E" w:rsidRPr="0063297E">
        <w:rPr>
          <w:bCs/>
        </w:rPr>
        <w:t xml:space="preserve">je orientovat zdravotnické systémy více na potřeby jednotlivců. Tento cíl vychází z mandátu ministrů zdravotnictví ČS OECD z roku 2017, který byl následně </w:t>
      </w:r>
      <w:r w:rsidR="00500F1E">
        <w:rPr>
          <w:bCs/>
        </w:rPr>
        <w:t>vtisknut</w:t>
      </w:r>
      <w:r w:rsidR="0037586E" w:rsidRPr="0063297E">
        <w:rPr>
          <w:bCs/>
        </w:rPr>
        <w:t xml:space="preserve"> do nového mandátu </w:t>
      </w:r>
      <w:r w:rsidR="00D64313">
        <w:rPr>
          <w:bCs/>
        </w:rPr>
        <w:t>HC</w:t>
      </w:r>
      <w:r w:rsidR="0037586E" w:rsidRPr="0063297E">
        <w:rPr>
          <w:bCs/>
        </w:rPr>
        <w:t xml:space="preserve"> v lednu 2018.</w:t>
      </w:r>
    </w:p>
    <w:p w14:paraId="1384348B" w14:textId="77777777" w:rsidR="00210569" w:rsidRDefault="00FA036C" w:rsidP="0048441F">
      <w:pPr>
        <w:spacing w:before="120" w:after="120" w:line="360" w:lineRule="auto"/>
        <w:rPr>
          <w:bCs/>
        </w:rPr>
      </w:pPr>
      <w:r w:rsidRPr="0063297E">
        <w:t xml:space="preserve">ČS mají možnost participovat na aktivitách OECD a </w:t>
      </w:r>
      <w:r w:rsidR="00930E9D">
        <w:t>usměrnit</w:t>
      </w:r>
      <w:r w:rsidRPr="0063297E">
        <w:t xml:space="preserve"> její práci primárn</w:t>
      </w:r>
      <w:r w:rsidR="00F972E6" w:rsidRPr="0063297E">
        <w:t>ě</w:t>
      </w:r>
      <w:r w:rsidRPr="0063297E">
        <w:t xml:space="preserve"> na jednáních pracovních skupin</w:t>
      </w:r>
      <w:r w:rsidR="00F972E6" w:rsidRPr="0063297E">
        <w:t>, z toho důvodu je vysílání expertů MZ (a příprava instrukce)</w:t>
      </w:r>
      <w:r w:rsidR="00733B98" w:rsidRPr="0063297E">
        <w:t xml:space="preserve"> zásadní v případě zájmu se některou oblastí zabývat hlouběji. Mezi </w:t>
      </w:r>
      <w:r w:rsidRPr="0063297E">
        <w:t>jednáními</w:t>
      </w:r>
      <w:r w:rsidR="00F972E6" w:rsidRPr="0063297E">
        <w:t xml:space="preserve"> pak</w:t>
      </w:r>
      <w:r w:rsidR="00733B98" w:rsidRPr="0063297E">
        <w:t xml:space="preserve"> dochází ke spolupráci </w:t>
      </w:r>
      <w:r w:rsidRPr="0063297E">
        <w:t>na žádost Sekretariátu např. formou dotazníků či zasílání komentářů k dokumentům. Pouze k některým tématům vznikají zvláštní pracovní skupiny (např. k bezpečnosti pacientů</w:t>
      </w:r>
      <w:r w:rsidR="00F972E6" w:rsidRPr="0063297E">
        <w:t>)</w:t>
      </w:r>
      <w:r w:rsidRPr="0063297E">
        <w:t>, které nabízejí ČS více prostoru ovlivnit</w:t>
      </w:r>
      <w:r w:rsidR="00F972E6" w:rsidRPr="0063297E">
        <w:t xml:space="preserve"> konkrétní projekt (např. tvorbu indikátorů)</w:t>
      </w:r>
      <w:r w:rsidR="00733B98" w:rsidRPr="0063297E">
        <w:t xml:space="preserve">. Zvláštní skupinou jsou pak přezkumy </w:t>
      </w:r>
      <w:r w:rsidR="00C36198" w:rsidRPr="0063297E">
        <w:t>ČS</w:t>
      </w:r>
      <w:r w:rsidR="00733B98" w:rsidRPr="0063297E">
        <w:t xml:space="preserve"> (</w:t>
      </w:r>
      <w:proofErr w:type="spellStart"/>
      <w:r w:rsidR="00733B98" w:rsidRPr="0063297E">
        <w:rPr>
          <w:bCs/>
        </w:rPr>
        <w:t>Reviews</w:t>
      </w:r>
      <w:proofErr w:type="spellEnd"/>
      <w:r w:rsidR="00733B98" w:rsidRPr="0063297E">
        <w:rPr>
          <w:bCs/>
        </w:rPr>
        <w:t xml:space="preserve"> </w:t>
      </w:r>
      <w:proofErr w:type="spellStart"/>
      <w:r w:rsidR="00733B98" w:rsidRPr="0063297E">
        <w:rPr>
          <w:bCs/>
        </w:rPr>
        <w:t>of</w:t>
      </w:r>
      <w:proofErr w:type="spellEnd"/>
      <w:r w:rsidR="00733B98" w:rsidRPr="0063297E">
        <w:rPr>
          <w:bCs/>
        </w:rPr>
        <w:t xml:space="preserve"> </w:t>
      </w:r>
      <w:proofErr w:type="spellStart"/>
      <w:r w:rsidR="00733B98" w:rsidRPr="0063297E">
        <w:rPr>
          <w:bCs/>
        </w:rPr>
        <w:t>Health</w:t>
      </w:r>
      <w:proofErr w:type="spellEnd"/>
      <w:r w:rsidR="00733B98" w:rsidRPr="0063297E">
        <w:rPr>
          <w:bCs/>
        </w:rPr>
        <w:t xml:space="preserve"> Systems, </w:t>
      </w:r>
      <w:proofErr w:type="spellStart"/>
      <w:r w:rsidR="00733B98" w:rsidRPr="0063297E">
        <w:rPr>
          <w:bCs/>
        </w:rPr>
        <w:t>Review</w:t>
      </w:r>
      <w:proofErr w:type="spellEnd"/>
      <w:r w:rsidR="00733B98" w:rsidRPr="0063297E">
        <w:rPr>
          <w:bCs/>
        </w:rPr>
        <w:t xml:space="preserve"> </w:t>
      </w:r>
      <w:proofErr w:type="spellStart"/>
      <w:r w:rsidR="00733B98" w:rsidRPr="0063297E">
        <w:rPr>
          <w:bCs/>
        </w:rPr>
        <w:t>of</w:t>
      </w:r>
      <w:proofErr w:type="spellEnd"/>
      <w:r w:rsidR="00733B98" w:rsidRPr="0063297E">
        <w:rPr>
          <w:bCs/>
        </w:rPr>
        <w:t xml:space="preserve"> </w:t>
      </w:r>
      <w:r w:rsidR="00EA35B3">
        <w:rPr>
          <w:bCs/>
        </w:rPr>
        <w:t>P</w:t>
      </w:r>
      <w:r w:rsidR="00733B98" w:rsidRPr="0063297E">
        <w:rPr>
          <w:bCs/>
        </w:rPr>
        <w:t xml:space="preserve">ublic </w:t>
      </w:r>
      <w:proofErr w:type="spellStart"/>
      <w:r w:rsidR="00733B98" w:rsidRPr="0063297E">
        <w:rPr>
          <w:bCs/>
        </w:rPr>
        <w:t>Health</w:t>
      </w:r>
      <w:proofErr w:type="spellEnd"/>
      <w:r w:rsidR="00733B98" w:rsidRPr="0063297E">
        <w:rPr>
          <w:bCs/>
        </w:rPr>
        <w:t xml:space="preserve">), které vznikají přímo na vyžádání </w:t>
      </w:r>
      <w:r w:rsidR="00C36198" w:rsidRPr="0063297E">
        <w:rPr>
          <w:bCs/>
        </w:rPr>
        <w:t>konkrétního státu.</w:t>
      </w:r>
      <w:r w:rsidR="00074B34" w:rsidRPr="0063297E">
        <w:rPr>
          <w:bCs/>
        </w:rPr>
        <w:t xml:space="preserve"> </w:t>
      </w:r>
    </w:p>
    <w:p w14:paraId="51E061EE" w14:textId="77777777" w:rsidR="00210569" w:rsidRDefault="00210569">
      <w:pPr>
        <w:spacing w:line="240" w:lineRule="auto"/>
        <w:jc w:val="left"/>
        <w:rPr>
          <w:bCs/>
        </w:rPr>
      </w:pPr>
      <w:r>
        <w:rPr>
          <w:bCs/>
        </w:rPr>
        <w:br w:type="page"/>
      </w:r>
    </w:p>
    <w:p w14:paraId="2819D276" w14:textId="77777777" w:rsidR="00462487" w:rsidRPr="00462487" w:rsidRDefault="00462487" w:rsidP="0048441F">
      <w:pPr>
        <w:spacing w:before="120" w:after="120" w:line="360" w:lineRule="auto"/>
        <w:rPr>
          <w:b/>
          <w:bCs/>
        </w:rPr>
      </w:pPr>
      <w:r w:rsidRPr="00462487">
        <w:rPr>
          <w:b/>
          <w:bCs/>
        </w:rPr>
        <w:lastRenderedPageBreak/>
        <w:t>Aktivity OECD v oblasti zdraví</w:t>
      </w:r>
    </w:p>
    <w:p w14:paraId="01ABBB08" w14:textId="77777777" w:rsidR="0037586E" w:rsidRDefault="0037586E" w:rsidP="0048441F">
      <w:pPr>
        <w:spacing w:before="120" w:after="120" w:line="360" w:lineRule="auto"/>
        <w:rPr>
          <w:bCs/>
        </w:rPr>
      </w:pPr>
      <w:r w:rsidRPr="0063297E">
        <w:rPr>
          <w:bCs/>
        </w:rPr>
        <w:t xml:space="preserve">Zástupci PS OECD byli seznámeni </w:t>
      </w:r>
      <w:r w:rsidR="009D7856" w:rsidRPr="0063297E">
        <w:rPr>
          <w:bCs/>
        </w:rPr>
        <w:t>s 10</w:t>
      </w:r>
      <w:r w:rsidRPr="0063297E">
        <w:rPr>
          <w:bCs/>
        </w:rPr>
        <w:t xml:space="preserve"> okruhy aktivit OECD v oblasti zdraví</w:t>
      </w:r>
      <w:r w:rsidR="0063297E" w:rsidRPr="0063297E">
        <w:rPr>
          <w:rStyle w:val="Znakapoznpodarou"/>
          <w:bCs/>
        </w:rPr>
        <w:footnoteReference w:id="2"/>
      </w:r>
      <w:r w:rsidRPr="0063297E">
        <w:rPr>
          <w:bCs/>
        </w:rPr>
        <w:t xml:space="preserve">. </w:t>
      </w:r>
    </w:p>
    <w:p w14:paraId="3432E44B" w14:textId="77777777" w:rsidR="0063297E" w:rsidRPr="0063297E" w:rsidRDefault="0063297E" w:rsidP="0048441F">
      <w:pPr>
        <w:spacing w:before="120" w:after="120" w:line="360" w:lineRule="auto"/>
        <w:rPr>
          <w:b/>
          <w:bCs/>
        </w:rPr>
      </w:pPr>
      <w:r w:rsidRPr="0063297E">
        <w:rPr>
          <w:b/>
          <w:bCs/>
        </w:rPr>
        <w:t>1) Kvalita zdravotní péče</w:t>
      </w:r>
    </w:p>
    <w:p w14:paraId="1F6CE88B" w14:textId="54415EB1" w:rsidR="0063297E" w:rsidRPr="0063297E" w:rsidRDefault="00930E9D" w:rsidP="0048441F">
      <w:pPr>
        <w:spacing w:before="120" w:after="120" w:line="360" w:lineRule="auto"/>
        <w:rPr>
          <w:bCs/>
        </w:rPr>
      </w:pPr>
      <w:r>
        <w:rPr>
          <w:bCs/>
        </w:rPr>
        <w:t xml:space="preserve">Na úvod byl představen </w:t>
      </w:r>
      <w:r w:rsidR="0063297E" w:rsidRPr="0063297E">
        <w:rPr>
          <w:bCs/>
        </w:rPr>
        <w:t xml:space="preserve">projekt </w:t>
      </w:r>
      <w:proofErr w:type="spellStart"/>
      <w:r w:rsidR="0063297E" w:rsidRPr="000853A5">
        <w:rPr>
          <w:b/>
          <w:bCs/>
        </w:rPr>
        <w:t>Health</w:t>
      </w:r>
      <w:proofErr w:type="spellEnd"/>
      <w:r w:rsidR="0063297E" w:rsidRPr="000853A5">
        <w:rPr>
          <w:b/>
          <w:bCs/>
        </w:rPr>
        <w:t xml:space="preserve"> Care </w:t>
      </w:r>
      <w:proofErr w:type="spellStart"/>
      <w:r w:rsidR="0063297E" w:rsidRPr="000853A5">
        <w:rPr>
          <w:b/>
          <w:bCs/>
        </w:rPr>
        <w:t>Quality</w:t>
      </w:r>
      <w:proofErr w:type="spellEnd"/>
      <w:r w:rsidR="0063297E" w:rsidRPr="000853A5">
        <w:rPr>
          <w:b/>
          <w:bCs/>
        </w:rPr>
        <w:t xml:space="preserve"> Framework</w:t>
      </w:r>
      <w:r w:rsidR="0063297E" w:rsidRPr="0063297E">
        <w:rPr>
          <w:rStyle w:val="Znakapoznpodarou"/>
          <w:bCs/>
        </w:rPr>
        <w:footnoteReference w:id="3"/>
      </w:r>
      <w:r w:rsidR="0063297E" w:rsidRPr="0063297E">
        <w:rPr>
          <w:bCs/>
        </w:rPr>
        <w:t>. Jedná se o klíčovou náplň pracovní skupiny HCQO. Cílem je mezinárodní srovnání kvality zdravotní péče. Sekretariát spolupracuje při sběru dat s ÚZIS, data jsou d</w:t>
      </w:r>
      <w:r w:rsidR="00B16F24">
        <w:rPr>
          <w:bCs/>
        </w:rPr>
        <w:t>á</w:t>
      </w:r>
      <w:r w:rsidR="0063297E" w:rsidRPr="0063297E">
        <w:rPr>
          <w:bCs/>
        </w:rPr>
        <w:t>le sbírána ve spolupráci s EU. V roce 2018 zahrnoval proces sběru dat ce</w:t>
      </w:r>
      <w:r w:rsidR="00490ABE">
        <w:rPr>
          <w:bCs/>
        </w:rPr>
        <w:t>lkem 59 indikátorů pokrývající</w:t>
      </w:r>
      <w:r w:rsidR="00B16F24">
        <w:rPr>
          <w:bCs/>
        </w:rPr>
        <w:t>ch</w:t>
      </w:r>
      <w:r w:rsidR="0063297E" w:rsidRPr="0063297E">
        <w:rPr>
          <w:bCs/>
        </w:rPr>
        <w:t xml:space="preserve"> </w:t>
      </w:r>
      <w:r w:rsidR="00490ABE">
        <w:rPr>
          <w:bCs/>
        </w:rPr>
        <w:t xml:space="preserve">(mimo jiné) </w:t>
      </w:r>
      <w:r w:rsidR="0063297E" w:rsidRPr="0063297E">
        <w:rPr>
          <w:bCs/>
        </w:rPr>
        <w:t>následující témata: primární péče,</w:t>
      </w:r>
      <w:r w:rsidR="00490ABE">
        <w:rPr>
          <w:bCs/>
        </w:rPr>
        <w:t xml:space="preserve"> akutní péče, onkologická péče,</w:t>
      </w:r>
      <w:r w:rsidR="0063297E" w:rsidRPr="0063297E">
        <w:rPr>
          <w:bCs/>
        </w:rPr>
        <w:t xml:space="preserve"> předepisování</w:t>
      </w:r>
      <w:r w:rsidR="00490ABE">
        <w:rPr>
          <w:bCs/>
        </w:rPr>
        <w:t xml:space="preserve"> léků</w:t>
      </w:r>
      <w:r w:rsidR="0063297E" w:rsidRPr="0063297E">
        <w:rPr>
          <w:bCs/>
        </w:rPr>
        <w:t xml:space="preserve">, </w:t>
      </w:r>
      <w:r w:rsidR="00490ABE">
        <w:rPr>
          <w:bCs/>
        </w:rPr>
        <w:t>péče o duševní zdraví či</w:t>
      </w:r>
      <w:r w:rsidR="0063297E" w:rsidRPr="0063297E">
        <w:rPr>
          <w:bCs/>
        </w:rPr>
        <w:t xml:space="preserve"> bezpečnost pacientů. Výstupy jsou prezentovány v </w:t>
      </w:r>
      <w:proofErr w:type="spellStart"/>
      <w:r w:rsidR="0063297E" w:rsidRPr="0063297E">
        <w:rPr>
          <w:bCs/>
        </w:rPr>
        <w:t>Health</w:t>
      </w:r>
      <w:proofErr w:type="spellEnd"/>
      <w:r w:rsidR="0063297E" w:rsidRPr="0063297E">
        <w:rPr>
          <w:bCs/>
        </w:rPr>
        <w:t xml:space="preserve"> </w:t>
      </w:r>
      <w:proofErr w:type="spellStart"/>
      <w:r w:rsidR="0063297E" w:rsidRPr="0063297E">
        <w:rPr>
          <w:bCs/>
        </w:rPr>
        <w:t>at</w:t>
      </w:r>
      <w:proofErr w:type="spellEnd"/>
      <w:r w:rsidR="0063297E" w:rsidRPr="0063297E">
        <w:rPr>
          <w:bCs/>
        </w:rPr>
        <w:t xml:space="preserve"> a Glance a v OECD databázi</w:t>
      </w:r>
      <w:r w:rsidR="00490ABE">
        <w:rPr>
          <w:rStyle w:val="Znakapoznpodarou"/>
          <w:bCs/>
        </w:rPr>
        <w:footnoteReference w:id="4"/>
      </w:r>
      <w:r w:rsidR="000853A5">
        <w:rPr>
          <w:bCs/>
        </w:rPr>
        <w:t>.</w:t>
      </w:r>
    </w:p>
    <w:p w14:paraId="3021D811" w14:textId="5DA9359E" w:rsidR="0030739C" w:rsidRDefault="000853A5" w:rsidP="000853A5">
      <w:pPr>
        <w:spacing w:before="120" w:after="120" w:line="360" w:lineRule="auto"/>
        <w:rPr>
          <w:bCs/>
        </w:rPr>
      </w:pPr>
      <w:r w:rsidRPr="000853A5">
        <w:rPr>
          <w:bCs/>
        </w:rPr>
        <w:t xml:space="preserve">Dalším důležitým tématem </w:t>
      </w:r>
      <w:r w:rsidR="00D64313">
        <w:rPr>
          <w:bCs/>
        </w:rPr>
        <w:t>HC</w:t>
      </w:r>
      <w:r w:rsidRPr="000853A5">
        <w:rPr>
          <w:bCs/>
        </w:rPr>
        <w:t xml:space="preserve"> (respektive HCQO) je</w:t>
      </w:r>
      <w:r>
        <w:rPr>
          <w:bCs/>
        </w:rPr>
        <w:t xml:space="preserve"> vzhledem ke stárnutí obyvatel ve všech ČS OECD a souvisejícím</w:t>
      </w:r>
      <w:r w:rsidR="00B16F24">
        <w:rPr>
          <w:bCs/>
        </w:rPr>
        <w:t>u</w:t>
      </w:r>
      <w:r>
        <w:rPr>
          <w:bCs/>
        </w:rPr>
        <w:t xml:space="preserve"> růst</w:t>
      </w:r>
      <w:r w:rsidR="00B16F24">
        <w:rPr>
          <w:bCs/>
        </w:rPr>
        <w:t>u</w:t>
      </w:r>
      <w:r>
        <w:rPr>
          <w:bCs/>
        </w:rPr>
        <w:t xml:space="preserve"> chronických onemocnění </w:t>
      </w:r>
      <w:r w:rsidRPr="000853A5">
        <w:rPr>
          <w:b/>
          <w:bCs/>
        </w:rPr>
        <w:t>primární péče</w:t>
      </w:r>
      <w:r>
        <w:rPr>
          <w:rStyle w:val="Znakapoznpodarou"/>
          <w:b/>
          <w:bCs/>
        </w:rPr>
        <w:footnoteReference w:id="5"/>
      </w:r>
      <w:r>
        <w:rPr>
          <w:bCs/>
        </w:rPr>
        <w:t>.</w:t>
      </w:r>
      <w:r w:rsidRPr="000853A5">
        <w:rPr>
          <w:bCs/>
        </w:rPr>
        <w:t xml:space="preserve"> OECD </w:t>
      </w:r>
      <w:r>
        <w:rPr>
          <w:bCs/>
        </w:rPr>
        <w:t xml:space="preserve">aktuálně </w:t>
      </w:r>
      <w:r w:rsidRPr="000853A5">
        <w:rPr>
          <w:bCs/>
        </w:rPr>
        <w:t>vypracoval</w:t>
      </w:r>
      <w:r w:rsidR="00B16F24">
        <w:rPr>
          <w:bCs/>
        </w:rPr>
        <w:t>a</w:t>
      </w:r>
      <w:r w:rsidRPr="000853A5">
        <w:rPr>
          <w:bCs/>
        </w:rPr>
        <w:t xml:space="preserve"> velkou publikaci jako podklad pro jednání ministrů G7</w:t>
      </w:r>
      <w:r>
        <w:rPr>
          <w:rStyle w:val="Znakapoznpodarou"/>
          <w:bCs/>
        </w:rPr>
        <w:footnoteReference w:id="6"/>
      </w:r>
      <w:r w:rsidRPr="000853A5">
        <w:rPr>
          <w:bCs/>
        </w:rPr>
        <w:t xml:space="preserve">. Aktivity </w:t>
      </w:r>
      <w:r>
        <w:rPr>
          <w:bCs/>
        </w:rPr>
        <w:t>v této oblasti se primárně týkají uzpůsobení organizace primární péče na budoucí výzvy včetně financování</w:t>
      </w:r>
      <w:r w:rsidRPr="000853A5">
        <w:rPr>
          <w:bCs/>
        </w:rPr>
        <w:t>.</w:t>
      </w:r>
      <w:r>
        <w:rPr>
          <w:bCs/>
        </w:rPr>
        <w:t xml:space="preserve"> V souladu se způsobem práce OECD se (obdobně jako v ostatních materiálech Sekretariátu OECD) vych</w:t>
      </w:r>
      <w:r w:rsidRPr="000853A5">
        <w:rPr>
          <w:bCs/>
        </w:rPr>
        <w:t>ází ze srovnávání dat a příkladů dobré praxe.</w:t>
      </w:r>
      <w:r>
        <w:rPr>
          <w:bCs/>
        </w:rPr>
        <w:t xml:space="preserve"> </w:t>
      </w:r>
      <w:r w:rsidR="0030739C">
        <w:rPr>
          <w:bCs/>
        </w:rPr>
        <w:t>Jako příklad zapojení ČS byla uvedena nedávná žádost Sekretariátu OECD o připomínkování návrhu způsobu měření nákladů primární péče v mezinárodním srovnání.</w:t>
      </w:r>
    </w:p>
    <w:p w14:paraId="1D6AC72A" w14:textId="3F7AD86C" w:rsidR="00210569" w:rsidRDefault="00210569" w:rsidP="000853A5">
      <w:pPr>
        <w:spacing w:before="120" w:after="120" w:line="360" w:lineRule="auto"/>
        <w:rPr>
          <w:bCs/>
        </w:rPr>
      </w:pPr>
      <w:r>
        <w:rPr>
          <w:bCs/>
        </w:rPr>
        <w:t xml:space="preserve">Aktuálním tématem je také oblast </w:t>
      </w:r>
      <w:r w:rsidRPr="00210569">
        <w:rPr>
          <w:b/>
          <w:bCs/>
        </w:rPr>
        <w:t>bezpečnosti pacientů</w:t>
      </w:r>
      <w:r>
        <w:rPr>
          <w:bCs/>
        </w:rPr>
        <w:t xml:space="preserve">. Ačkoliv sběr dat funguje již několik let (a jsou uvedeny ve výše zmíněném </w:t>
      </w:r>
      <w:proofErr w:type="spellStart"/>
      <w:r w:rsidRPr="00210569">
        <w:rPr>
          <w:bCs/>
        </w:rPr>
        <w:t>Health</w:t>
      </w:r>
      <w:proofErr w:type="spellEnd"/>
      <w:r w:rsidRPr="00210569">
        <w:rPr>
          <w:bCs/>
        </w:rPr>
        <w:t xml:space="preserve"> Care </w:t>
      </w:r>
      <w:proofErr w:type="spellStart"/>
      <w:r w:rsidRPr="00210569">
        <w:rPr>
          <w:bCs/>
        </w:rPr>
        <w:t>Quality</w:t>
      </w:r>
      <w:proofErr w:type="spellEnd"/>
      <w:r w:rsidRPr="00210569">
        <w:rPr>
          <w:bCs/>
        </w:rPr>
        <w:t xml:space="preserve"> Framework</w:t>
      </w:r>
      <w:r>
        <w:rPr>
          <w:bCs/>
        </w:rPr>
        <w:t xml:space="preserve">) bylo rozhodnuto o aktualizaci dat a tvorbě nových </w:t>
      </w:r>
      <w:r w:rsidRPr="00210569">
        <w:rPr>
          <w:bCs/>
        </w:rPr>
        <w:t>indikátorů k zaznamenání názoru pacientů na bezpečnost zdravotní péče</w:t>
      </w:r>
      <w:r>
        <w:rPr>
          <w:bCs/>
        </w:rPr>
        <w:t xml:space="preserve">. Za tímto účelem byla vytvořena zvláštní </w:t>
      </w:r>
      <w:r w:rsidRPr="00210569">
        <w:rPr>
          <w:bCs/>
        </w:rPr>
        <w:t xml:space="preserve">pracovní skupina </w:t>
      </w:r>
      <w:proofErr w:type="spellStart"/>
      <w:r w:rsidRPr="00210569">
        <w:rPr>
          <w:bCs/>
        </w:rPr>
        <w:t>Working</w:t>
      </w:r>
      <w:proofErr w:type="spellEnd"/>
      <w:r w:rsidRPr="00210569">
        <w:rPr>
          <w:bCs/>
        </w:rPr>
        <w:t xml:space="preserve"> Group on </w:t>
      </w:r>
      <w:proofErr w:type="spellStart"/>
      <w:r w:rsidRPr="00210569">
        <w:rPr>
          <w:bCs/>
        </w:rPr>
        <w:t>Patient-Reported</w:t>
      </w:r>
      <w:proofErr w:type="spellEnd"/>
      <w:r w:rsidRPr="00210569">
        <w:rPr>
          <w:bCs/>
        </w:rPr>
        <w:t xml:space="preserve"> </w:t>
      </w:r>
      <w:proofErr w:type="spellStart"/>
      <w:r w:rsidRPr="00210569">
        <w:rPr>
          <w:bCs/>
        </w:rPr>
        <w:t>Experiences</w:t>
      </w:r>
      <w:proofErr w:type="spellEnd"/>
      <w:r w:rsidRPr="00210569">
        <w:rPr>
          <w:bCs/>
        </w:rPr>
        <w:t xml:space="preserve"> </w:t>
      </w:r>
      <w:proofErr w:type="spellStart"/>
      <w:r w:rsidRPr="00210569">
        <w:rPr>
          <w:bCs/>
        </w:rPr>
        <w:t>of</w:t>
      </w:r>
      <w:proofErr w:type="spellEnd"/>
      <w:r w:rsidRPr="00210569">
        <w:rPr>
          <w:bCs/>
        </w:rPr>
        <w:t xml:space="preserve"> </w:t>
      </w:r>
      <w:proofErr w:type="spellStart"/>
      <w:r w:rsidRPr="00210569">
        <w:rPr>
          <w:bCs/>
        </w:rPr>
        <w:t>Safety</w:t>
      </w:r>
      <w:proofErr w:type="spellEnd"/>
      <w:r>
        <w:rPr>
          <w:bCs/>
        </w:rPr>
        <w:t xml:space="preserve">, </w:t>
      </w:r>
      <w:r w:rsidR="00B16F24">
        <w:rPr>
          <w:bCs/>
        </w:rPr>
        <w:t>jejíž</w:t>
      </w:r>
      <w:r>
        <w:rPr>
          <w:bCs/>
        </w:rPr>
        <w:t xml:space="preserve"> součástí </w:t>
      </w:r>
      <w:r w:rsidR="00B16F24">
        <w:rPr>
          <w:bCs/>
        </w:rPr>
        <w:t xml:space="preserve">je </w:t>
      </w:r>
      <w:r>
        <w:rPr>
          <w:bCs/>
        </w:rPr>
        <w:t>i ČR (podrobněji dále).</w:t>
      </w:r>
    </w:p>
    <w:p w14:paraId="24675892" w14:textId="77777777" w:rsidR="00210569" w:rsidRPr="00210569" w:rsidRDefault="00210569" w:rsidP="000853A5">
      <w:pPr>
        <w:spacing w:before="120" w:after="120" w:line="360" w:lineRule="auto"/>
        <w:rPr>
          <w:b/>
          <w:bCs/>
        </w:rPr>
      </w:pPr>
      <w:r w:rsidRPr="00210569">
        <w:rPr>
          <w:b/>
          <w:bCs/>
        </w:rPr>
        <w:t>2) Měření výsledků zdravotního systému</w:t>
      </w:r>
    </w:p>
    <w:p w14:paraId="2BBDA95D" w14:textId="77777777" w:rsidR="00D64313" w:rsidRDefault="00D64313" w:rsidP="00D64313">
      <w:pPr>
        <w:spacing w:before="120" w:after="120" w:line="360" w:lineRule="auto"/>
        <w:rPr>
          <w:bCs/>
        </w:rPr>
      </w:pPr>
      <w:r>
        <w:rPr>
          <w:bCs/>
        </w:rPr>
        <w:t xml:space="preserve">Hlavní náplň HC je </w:t>
      </w:r>
      <w:r w:rsidRPr="00DB1293">
        <w:rPr>
          <w:b/>
          <w:bCs/>
        </w:rPr>
        <w:t>měřit a komparovat výsledky výkonnosti zdravotního systému</w:t>
      </w:r>
      <w:r>
        <w:rPr>
          <w:bCs/>
        </w:rPr>
        <w:t>. Oblast se prolíná s prací všech podvýborů HC.</w:t>
      </w:r>
      <w:r w:rsidRPr="00D64313">
        <w:rPr>
          <w:bCs/>
        </w:rPr>
        <w:t xml:space="preserve"> </w:t>
      </w:r>
      <w:r>
        <w:rPr>
          <w:bCs/>
        </w:rPr>
        <w:t>Mezi sledované indikátory patří</w:t>
      </w:r>
      <w:r w:rsidRPr="00D64313">
        <w:rPr>
          <w:bCs/>
        </w:rPr>
        <w:t xml:space="preserve"> </w:t>
      </w:r>
      <w:r w:rsidRPr="0063297E">
        <w:rPr>
          <w:bCs/>
        </w:rPr>
        <w:t>ukazatele zdravotního stavu, zdravotních rizikových faktorů, lidských zdrojů, využití zdravotnických služeb, kvality péče, farmaceutických trhů, dlouhodobé péče a výdajů a financování zdravotnictví</w:t>
      </w:r>
      <w:r>
        <w:rPr>
          <w:bCs/>
        </w:rPr>
        <w:t xml:space="preserve">. Data jsou obsažena v </w:t>
      </w:r>
      <w:r w:rsidRPr="00DB1293">
        <w:rPr>
          <w:b/>
          <w:bCs/>
        </w:rPr>
        <w:t xml:space="preserve">OECD databázi </w:t>
      </w:r>
      <w:r w:rsidRPr="00DB1293">
        <w:rPr>
          <w:bCs/>
        </w:rPr>
        <w:t>a prezentována v</w:t>
      </w:r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Health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at</w:t>
      </w:r>
      <w:proofErr w:type="spellEnd"/>
      <w:r w:rsidRPr="00DB1293">
        <w:rPr>
          <w:b/>
          <w:bCs/>
        </w:rPr>
        <w:t xml:space="preserve"> a Glance</w:t>
      </w:r>
      <w:r>
        <w:rPr>
          <w:bCs/>
        </w:rPr>
        <w:t xml:space="preserve">. </w:t>
      </w:r>
      <w:r w:rsidR="003E1D3C" w:rsidRPr="0063297E">
        <w:rPr>
          <w:bCs/>
        </w:rPr>
        <w:t>Data poskytuje za ČR ÚZIS či ČSÚ</w:t>
      </w:r>
      <w:r w:rsidR="003E1D3C">
        <w:rPr>
          <w:bCs/>
        </w:rPr>
        <w:t>.</w:t>
      </w:r>
    </w:p>
    <w:p w14:paraId="261723D6" w14:textId="1EB54791" w:rsidR="003E1D3C" w:rsidRDefault="003E1D3C" w:rsidP="000853A5">
      <w:pPr>
        <w:spacing w:before="120" w:after="120" w:line="360" w:lineRule="auto"/>
        <w:rPr>
          <w:bCs/>
        </w:rPr>
      </w:pPr>
      <w:r>
        <w:rPr>
          <w:bCs/>
        </w:rPr>
        <w:lastRenderedPageBreak/>
        <w:t xml:space="preserve">HCQO a </w:t>
      </w:r>
      <w:r w:rsidR="00DB1293">
        <w:rPr>
          <w:bCs/>
        </w:rPr>
        <w:t xml:space="preserve">WP on </w:t>
      </w:r>
      <w:proofErr w:type="spellStart"/>
      <w:r>
        <w:rPr>
          <w:bCs/>
        </w:rPr>
        <w:t>Health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Statistics</w:t>
      </w:r>
      <w:proofErr w:type="spellEnd"/>
      <w:r>
        <w:rPr>
          <w:bCs/>
        </w:rPr>
        <w:t xml:space="preserve"> se dále zabývají </w:t>
      </w:r>
      <w:r w:rsidRPr="00DB1293">
        <w:rPr>
          <w:b/>
          <w:bCs/>
        </w:rPr>
        <w:t>aktualizací stávajících indikátorů</w:t>
      </w:r>
      <w:r>
        <w:rPr>
          <w:bCs/>
        </w:rPr>
        <w:t xml:space="preserve"> včetně metodologie </w:t>
      </w:r>
      <w:r w:rsidRPr="003E1D3C">
        <w:rPr>
          <w:bCs/>
        </w:rPr>
        <w:t>systému zdravotnických účtů</w:t>
      </w:r>
      <w:r>
        <w:rPr>
          <w:bCs/>
        </w:rPr>
        <w:t xml:space="preserve">. Dochází také </w:t>
      </w:r>
      <w:r w:rsidRPr="00DB1293">
        <w:rPr>
          <w:b/>
          <w:bCs/>
        </w:rPr>
        <w:t>k vývoji nové generace zdravotních ukazatelů</w:t>
      </w:r>
      <w:r>
        <w:rPr>
          <w:bCs/>
        </w:rPr>
        <w:t xml:space="preserve">. Příkladem je zejména </w:t>
      </w:r>
      <w:r w:rsidRPr="00DB1293">
        <w:rPr>
          <w:bCs/>
        </w:rPr>
        <w:t xml:space="preserve">projekt </w:t>
      </w:r>
      <w:proofErr w:type="spellStart"/>
      <w:r w:rsidRPr="00DB1293">
        <w:rPr>
          <w:bCs/>
        </w:rPr>
        <w:t>PaRIS</w:t>
      </w:r>
      <w:proofErr w:type="spellEnd"/>
      <w:r>
        <w:rPr>
          <w:bCs/>
        </w:rPr>
        <w:t xml:space="preserve"> (podrobněji dále).</w:t>
      </w:r>
    </w:p>
    <w:p w14:paraId="60C6946B" w14:textId="77777777" w:rsidR="003E1D3C" w:rsidRPr="00531E66" w:rsidRDefault="003E1D3C" w:rsidP="00531E66">
      <w:pPr>
        <w:spacing w:before="120" w:after="120" w:line="360" w:lineRule="auto"/>
        <w:rPr>
          <w:b/>
          <w:bCs/>
        </w:rPr>
      </w:pPr>
      <w:r w:rsidRPr="003E1D3C">
        <w:rPr>
          <w:b/>
          <w:bCs/>
        </w:rPr>
        <w:t>3)</w:t>
      </w:r>
      <w:r>
        <w:rPr>
          <w:bCs/>
        </w:rPr>
        <w:t xml:space="preserve"> </w:t>
      </w:r>
      <w:r w:rsidRPr="00531E66">
        <w:rPr>
          <w:b/>
          <w:bCs/>
        </w:rPr>
        <w:t>Finanční udržitelnost a financování systému zdravotnictví</w:t>
      </w:r>
    </w:p>
    <w:p w14:paraId="3D38B83E" w14:textId="77777777" w:rsidR="00531E66" w:rsidRPr="00531E66" w:rsidRDefault="00531E66" w:rsidP="00531E66">
      <w:pPr>
        <w:spacing w:before="120" w:after="120" w:line="360" w:lineRule="auto"/>
        <w:rPr>
          <w:bCs/>
        </w:rPr>
      </w:pPr>
      <w:r w:rsidRPr="00531E66">
        <w:rPr>
          <w:bCs/>
        </w:rPr>
        <w:t xml:space="preserve">Velkou oblastí práce HC (jedná se také o náplň aktivit Joint Network on </w:t>
      </w:r>
      <w:proofErr w:type="spellStart"/>
      <w:r w:rsidRPr="00531E66">
        <w:rPr>
          <w:bCs/>
        </w:rPr>
        <w:t>Fiscal</w:t>
      </w:r>
      <w:proofErr w:type="spellEnd"/>
      <w:r w:rsidRPr="00531E66">
        <w:rPr>
          <w:bCs/>
        </w:rPr>
        <w:t xml:space="preserve"> </w:t>
      </w:r>
      <w:proofErr w:type="spellStart"/>
      <w:r w:rsidRPr="00531E66">
        <w:rPr>
          <w:bCs/>
        </w:rPr>
        <w:t>Sustainability</w:t>
      </w:r>
      <w:proofErr w:type="spellEnd"/>
      <w:r w:rsidRPr="00531E66">
        <w:rPr>
          <w:bCs/>
        </w:rPr>
        <w:t xml:space="preserve"> </w:t>
      </w:r>
      <w:proofErr w:type="spellStart"/>
      <w:r w:rsidRPr="00531E66">
        <w:rPr>
          <w:bCs/>
        </w:rPr>
        <w:t>of</w:t>
      </w:r>
      <w:proofErr w:type="spellEnd"/>
      <w:r w:rsidRPr="00531E66">
        <w:rPr>
          <w:bCs/>
        </w:rPr>
        <w:t xml:space="preserve"> </w:t>
      </w:r>
      <w:proofErr w:type="spellStart"/>
      <w:r w:rsidRPr="00531E66">
        <w:rPr>
          <w:bCs/>
        </w:rPr>
        <w:t>Health</w:t>
      </w:r>
      <w:proofErr w:type="spellEnd"/>
      <w:r w:rsidRPr="00531E66">
        <w:rPr>
          <w:bCs/>
        </w:rPr>
        <w:t xml:space="preserve"> Systems, ve které zasedají zástupci resortů financí a zdravotnictví)</w:t>
      </w:r>
      <w:r w:rsidR="00930E9D">
        <w:rPr>
          <w:bCs/>
        </w:rPr>
        <w:t xml:space="preserve"> je </w:t>
      </w:r>
      <w:r w:rsidR="00930E9D" w:rsidRPr="00DB1293">
        <w:rPr>
          <w:b/>
          <w:bCs/>
        </w:rPr>
        <w:t>problematika (udržitelnost) financování zdravotní péče</w:t>
      </w:r>
      <w:r w:rsidRPr="00531E66">
        <w:rPr>
          <w:bCs/>
        </w:rPr>
        <w:t xml:space="preserve">. Od roku 2005 shromažďují OECD, </w:t>
      </w:r>
      <w:proofErr w:type="spellStart"/>
      <w:r w:rsidRPr="00531E66">
        <w:rPr>
          <w:bCs/>
        </w:rPr>
        <w:t>Eurostat</w:t>
      </w:r>
      <w:proofErr w:type="spellEnd"/>
      <w:r w:rsidRPr="00531E66">
        <w:rPr>
          <w:bCs/>
        </w:rPr>
        <w:t xml:space="preserve"> a WHO společně informace o výdajích a financování ze zemí OECD a zemí EU. Za ČR dodává údaje ČSÚ. Údaje vycházejí ze systému zdravotnických účtů a jsou opět k dispozici v OECD databázi.</w:t>
      </w:r>
    </w:p>
    <w:p w14:paraId="44010787" w14:textId="395CE270" w:rsidR="00531E66" w:rsidRPr="00531E66" w:rsidRDefault="00531E66" w:rsidP="00531E66">
      <w:pPr>
        <w:spacing w:before="120" w:after="120" w:line="360" w:lineRule="auto"/>
        <w:rPr>
          <w:bCs/>
        </w:rPr>
      </w:pPr>
      <w:r w:rsidRPr="00531E66">
        <w:rPr>
          <w:bCs/>
        </w:rPr>
        <w:t>OECD rovněž vytváří řadu publikací</w:t>
      </w:r>
      <w:r w:rsidR="00EA35B3">
        <w:rPr>
          <w:rStyle w:val="Znakapoznpodarou"/>
          <w:bCs/>
        </w:rPr>
        <w:footnoteReference w:id="7"/>
      </w:r>
      <w:r w:rsidRPr="00531E66">
        <w:rPr>
          <w:bCs/>
        </w:rPr>
        <w:t>, které se zabývají obecně trendy ve financování, fiskální udržitelností, ale také detailnějšími analýzami jako dopady spoluúčasti pacientů, výdaj</w:t>
      </w:r>
      <w:r w:rsidR="00B16F24">
        <w:rPr>
          <w:bCs/>
        </w:rPr>
        <w:t>i</w:t>
      </w:r>
      <w:r w:rsidRPr="00531E66">
        <w:rPr>
          <w:bCs/>
        </w:rPr>
        <w:t xml:space="preserve"> na dlouhodobou péči, léčiva, nemocnice a specifické nemoci. ČS mají příležitost vstupovat do návrhů publikací a zapojují se formou dotazníků.</w:t>
      </w:r>
    </w:p>
    <w:p w14:paraId="768A9A2F" w14:textId="3B67A29A" w:rsidR="00531E66" w:rsidRDefault="00531E66" w:rsidP="00531E66">
      <w:pPr>
        <w:spacing w:before="120" w:after="120" w:line="360" w:lineRule="auto"/>
        <w:rPr>
          <w:bCs/>
        </w:rPr>
      </w:pPr>
      <w:r w:rsidRPr="00531E66">
        <w:rPr>
          <w:bCs/>
        </w:rPr>
        <w:t>OECD se zabývá rovněž tématem označeným</w:t>
      </w:r>
      <w:r>
        <w:rPr>
          <w:bCs/>
        </w:rPr>
        <w:t xml:space="preserve"> jako</w:t>
      </w:r>
      <w:r w:rsidRPr="00531E66">
        <w:rPr>
          <w:bCs/>
        </w:rPr>
        <w:t xml:space="preserve"> </w:t>
      </w:r>
      <w:r w:rsidRPr="00DB1293">
        <w:rPr>
          <w:b/>
          <w:bCs/>
        </w:rPr>
        <w:t>„</w:t>
      </w:r>
      <w:proofErr w:type="spellStart"/>
      <w:r w:rsidRPr="00DB1293">
        <w:rPr>
          <w:b/>
          <w:bCs/>
        </w:rPr>
        <w:t>Value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for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money</w:t>
      </w:r>
      <w:proofErr w:type="spellEnd"/>
      <w:r w:rsidRPr="00DB1293">
        <w:rPr>
          <w:b/>
          <w:bCs/>
        </w:rPr>
        <w:t>“</w:t>
      </w:r>
      <w:r w:rsidRPr="00531E66">
        <w:rPr>
          <w:bCs/>
        </w:rPr>
        <w:t xml:space="preserve">, které se prolíná s výše uvedenými analýzami a predikcemi budoucích trendů. Jedná se o opatření (příklady dobré praxe) jak zamezit zbytečným výdajům ve zdravotnictví. </w:t>
      </w:r>
      <w:r w:rsidR="006D6384" w:rsidRPr="00531E66">
        <w:rPr>
          <w:bCs/>
        </w:rPr>
        <w:t>V poslední době byla připravena projekce výdajů do roku 2030 spolu s doporučeními</w:t>
      </w:r>
      <w:r w:rsidR="006D6384">
        <w:rPr>
          <w:rStyle w:val="Znakapoznpodarou"/>
          <w:bCs/>
        </w:rPr>
        <w:footnoteReference w:id="8"/>
      </w:r>
      <w:r w:rsidR="006D6384" w:rsidRPr="00531E66">
        <w:rPr>
          <w:bCs/>
        </w:rPr>
        <w:t xml:space="preserve">. </w:t>
      </w:r>
      <w:r w:rsidR="006D6384">
        <w:rPr>
          <w:bCs/>
        </w:rPr>
        <w:t>Dalšími příklady mohou</w:t>
      </w:r>
      <w:r w:rsidRPr="00531E66">
        <w:rPr>
          <w:bCs/>
        </w:rPr>
        <w:t xml:space="preserve"> být analýz</w:t>
      </w:r>
      <w:r w:rsidR="006D6384">
        <w:rPr>
          <w:bCs/>
        </w:rPr>
        <w:t>y</w:t>
      </w:r>
      <w:r w:rsidRPr="00531E66">
        <w:rPr>
          <w:bCs/>
        </w:rPr>
        <w:t xml:space="preserve"> systémů financování v OECD, druhy pobídek pro p</w:t>
      </w:r>
      <w:r>
        <w:rPr>
          <w:bCs/>
        </w:rPr>
        <w:t>oskytovatele péče, zavedení DRG, z</w:t>
      </w:r>
      <w:r w:rsidRPr="00531E66">
        <w:rPr>
          <w:bCs/>
        </w:rPr>
        <w:t>působ platby a financování v primární péči. Dříve se zabýval</w:t>
      </w:r>
      <w:r w:rsidR="00B16F24">
        <w:rPr>
          <w:bCs/>
        </w:rPr>
        <w:t>a</w:t>
      </w:r>
      <w:r w:rsidRPr="00531E66">
        <w:rPr>
          <w:bCs/>
        </w:rPr>
        <w:t xml:space="preserve"> soukromým zdravotním pojištěním</w:t>
      </w:r>
      <w:r>
        <w:rPr>
          <w:bCs/>
        </w:rPr>
        <w:t>.</w:t>
      </w:r>
    </w:p>
    <w:p w14:paraId="3E49FC9A" w14:textId="77777777" w:rsidR="00531E66" w:rsidRDefault="00531E66" w:rsidP="00531E66">
      <w:pPr>
        <w:spacing w:before="120" w:after="120" w:line="360" w:lineRule="auto"/>
        <w:rPr>
          <w:bCs/>
        </w:rPr>
      </w:pPr>
      <w:r>
        <w:rPr>
          <w:bCs/>
        </w:rPr>
        <w:t>V této oblasti se nabízí příležitost pro ještě hlubší zapojen</w:t>
      </w:r>
      <w:r w:rsidR="00B16F24">
        <w:rPr>
          <w:bCs/>
        </w:rPr>
        <w:t>í</w:t>
      </w:r>
      <w:r>
        <w:rPr>
          <w:bCs/>
        </w:rPr>
        <w:t xml:space="preserve"> MZ prostřednictvím silnější participace na společném jednání s MF v rámci </w:t>
      </w:r>
      <w:r w:rsidRPr="00531E66">
        <w:rPr>
          <w:bCs/>
        </w:rPr>
        <w:t xml:space="preserve">Joint Network on </w:t>
      </w:r>
      <w:proofErr w:type="spellStart"/>
      <w:r w:rsidRPr="00531E66">
        <w:rPr>
          <w:bCs/>
        </w:rPr>
        <w:t>Fiscal</w:t>
      </w:r>
      <w:proofErr w:type="spellEnd"/>
      <w:r w:rsidRPr="00531E66">
        <w:rPr>
          <w:bCs/>
        </w:rPr>
        <w:t xml:space="preserve"> </w:t>
      </w:r>
      <w:proofErr w:type="spellStart"/>
      <w:r w:rsidRPr="00531E66">
        <w:rPr>
          <w:bCs/>
        </w:rPr>
        <w:t>Sustainability</w:t>
      </w:r>
      <w:proofErr w:type="spellEnd"/>
      <w:r w:rsidRPr="00531E66">
        <w:rPr>
          <w:bCs/>
        </w:rPr>
        <w:t xml:space="preserve"> </w:t>
      </w:r>
      <w:proofErr w:type="spellStart"/>
      <w:r w:rsidRPr="00531E66">
        <w:rPr>
          <w:bCs/>
        </w:rPr>
        <w:t>of</w:t>
      </w:r>
      <w:proofErr w:type="spellEnd"/>
      <w:r w:rsidRPr="00531E66">
        <w:rPr>
          <w:bCs/>
        </w:rPr>
        <w:t xml:space="preserve"> </w:t>
      </w:r>
      <w:proofErr w:type="spellStart"/>
      <w:r w:rsidRPr="00531E66">
        <w:rPr>
          <w:bCs/>
        </w:rPr>
        <w:t>Health</w:t>
      </w:r>
      <w:proofErr w:type="spellEnd"/>
      <w:r w:rsidRPr="00531E66">
        <w:rPr>
          <w:bCs/>
        </w:rPr>
        <w:t xml:space="preserve"> Systems</w:t>
      </w:r>
      <w:r>
        <w:rPr>
          <w:bCs/>
        </w:rPr>
        <w:t xml:space="preserve"> (MZ se do skupiny oficiálně zapojilo teprve před rokem).</w:t>
      </w:r>
    </w:p>
    <w:p w14:paraId="376C7FC8" w14:textId="77777777" w:rsidR="006D6384" w:rsidRPr="00531E66" w:rsidRDefault="006D6384" w:rsidP="006D6384">
      <w:pPr>
        <w:spacing w:before="120" w:after="120" w:line="360" w:lineRule="auto"/>
        <w:rPr>
          <w:b/>
          <w:bCs/>
        </w:rPr>
      </w:pPr>
      <w:r>
        <w:rPr>
          <w:b/>
          <w:bCs/>
        </w:rPr>
        <w:t>4</w:t>
      </w:r>
      <w:r w:rsidRPr="003E1D3C">
        <w:rPr>
          <w:b/>
          <w:bCs/>
        </w:rPr>
        <w:t>)</w:t>
      </w:r>
      <w:r>
        <w:rPr>
          <w:bCs/>
        </w:rPr>
        <w:t xml:space="preserve"> </w:t>
      </w:r>
      <w:r>
        <w:rPr>
          <w:b/>
          <w:bCs/>
        </w:rPr>
        <w:t>Veřejné zdraví</w:t>
      </w:r>
    </w:p>
    <w:p w14:paraId="586EDB58" w14:textId="11D5C577" w:rsidR="00531E66" w:rsidRPr="006D6384" w:rsidRDefault="00907398" w:rsidP="00907398">
      <w:pPr>
        <w:spacing w:before="120" w:after="120" w:line="360" w:lineRule="auto"/>
        <w:rPr>
          <w:bCs/>
        </w:rPr>
      </w:pPr>
      <w:r w:rsidRPr="0063297E">
        <w:rPr>
          <w:bCs/>
        </w:rPr>
        <w:t xml:space="preserve">Hlavní náplní Expert Group on </w:t>
      </w:r>
      <w:proofErr w:type="spellStart"/>
      <w:r w:rsidRPr="0063297E">
        <w:rPr>
          <w:bCs/>
        </w:rPr>
        <w:t>Economy</w:t>
      </w:r>
      <w:proofErr w:type="spellEnd"/>
      <w:r w:rsidRPr="0063297E">
        <w:rPr>
          <w:bCs/>
        </w:rPr>
        <w:t xml:space="preserve"> </w:t>
      </w:r>
      <w:proofErr w:type="spellStart"/>
      <w:r w:rsidRPr="0063297E">
        <w:rPr>
          <w:bCs/>
        </w:rPr>
        <w:t>of</w:t>
      </w:r>
      <w:proofErr w:type="spellEnd"/>
      <w:r w:rsidRPr="0063297E">
        <w:rPr>
          <w:bCs/>
        </w:rPr>
        <w:t xml:space="preserve"> Public </w:t>
      </w:r>
      <w:proofErr w:type="spellStart"/>
      <w:r w:rsidRPr="0063297E">
        <w:rPr>
          <w:bCs/>
        </w:rPr>
        <w:t>Health</w:t>
      </w:r>
      <w:proofErr w:type="spellEnd"/>
      <w:r>
        <w:rPr>
          <w:bCs/>
        </w:rPr>
        <w:t xml:space="preserve"> je</w:t>
      </w:r>
      <w:r w:rsidRPr="0063297E">
        <w:rPr>
          <w:bCs/>
        </w:rPr>
        <w:t xml:space="preserve"> </w:t>
      </w:r>
      <w:r w:rsidRPr="00DB1293">
        <w:rPr>
          <w:b/>
          <w:bCs/>
        </w:rPr>
        <w:t>přezkum ekonomických aspektů včetně sociálních determinantů spojených s veřejným zdravím</w:t>
      </w:r>
      <w:r>
        <w:rPr>
          <w:bCs/>
        </w:rPr>
        <w:t xml:space="preserve">. </w:t>
      </w:r>
      <w:r w:rsidR="00E4186C" w:rsidRPr="00E4186C">
        <w:rPr>
          <w:bCs/>
        </w:rPr>
        <w:t>Mezi konkrétní projekty patří např. analýza vlivu alkoholu</w:t>
      </w:r>
      <w:r w:rsidR="00E4186C">
        <w:rPr>
          <w:bCs/>
        </w:rPr>
        <w:t xml:space="preserve"> či</w:t>
      </w:r>
      <w:r w:rsidR="00E4186C" w:rsidRPr="00E4186C">
        <w:rPr>
          <w:bCs/>
        </w:rPr>
        <w:t xml:space="preserve"> obezity na zvýšení výdajů na veřejné zdraví včetně návrhů opatření</w:t>
      </w:r>
      <w:r w:rsidR="00E4186C">
        <w:rPr>
          <w:bCs/>
        </w:rPr>
        <w:t>.</w:t>
      </w:r>
      <w:r w:rsidR="00E4186C" w:rsidRPr="00E4186C">
        <w:rPr>
          <w:bCs/>
        </w:rPr>
        <w:t xml:space="preserve"> </w:t>
      </w:r>
      <w:r w:rsidR="00E4186C">
        <w:rPr>
          <w:bCs/>
        </w:rPr>
        <w:t xml:space="preserve">Zpravidla se skupina zaměřuje na dílčí oblast, např. </w:t>
      </w:r>
      <w:r w:rsidRPr="00907398">
        <w:rPr>
          <w:bCs/>
        </w:rPr>
        <w:t>negativní účink</w:t>
      </w:r>
      <w:r w:rsidR="00E4186C">
        <w:rPr>
          <w:bCs/>
        </w:rPr>
        <w:t>y</w:t>
      </w:r>
      <w:r w:rsidRPr="00907398">
        <w:rPr>
          <w:bCs/>
        </w:rPr>
        <w:t xml:space="preserve"> </w:t>
      </w:r>
      <w:r w:rsidRPr="00907398">
        <w:rPr>
          <w:bCs/>
        </w:rPr>
        <w:lastRenderedPageBreak/>
        <w:t>konzumace alkoholu na vzdělávání u dětí a mladistvých. Novým tématem je problematika nadužívání opiát</w:t>
      </w:r>
      <w:r w:rsidR="00B16F24">
        <w:rPr>
          <w:bCs/>
        </w:rPr>
        <w:t>ů</w:t>
      </w:r>
      <w:r w:rsidRPr="00907398">
        <w:rPr>
          <w:bCs/>
        </w:rPr>
        <w:t xml:space="preserve"> nebo jejich nadměrná preskripce. Velkým tématem byla problematika a důsledky AMR. </w:t>
      </w:r>
      <w:r w:rsidR="00E4186C">
        <w:rPr>
          <w:bCs/>
        </w:rPr>
        <w:t>V</w:t>
      </w:r>
      <w:r w:rsidRPr="00907398">
        <w:rPr>
          <w:bCs/>
        </w:rPr>
        <w:t> rámci Rumunského předsednictví v Radě EU vznikl dokument zabývající se nákladově efektivní</w:t>
      </w:r>
      <w:r w:rsidR="00930E9D">
        <w:rPr>
          <w:bCs/>
        </w:rPr>
        <w:t>mi</w:t>
      </w:r>
      <w:r w:rsidRPr="00907398">
        <w:rPr>
          <w:bCs/>
        </w:rPr>
        <w:t xml:space="preserve"> politik</w:t>
      </w:r>
      <w:r w:rsidR="00930E9D">
        <w:rPr>
          <w:bCs/>
        </w:rPr>
        <w:t>ami</w:t>
      </w:r>
      <w:r w:rsidRPr="00907398">
        <w:rPr>
          <w:bCs/>
        </w:rPr>
        <w:t xml:space="preserve"> v boji proti AMR</w:t>
      </w:r>
      <w:r w:rsidR="00E4186C">
        <w:rPr>
          <w:rStyle w:val="Znakapoznpodarou"/>
          <w:bCs/>
        </w:rPr>
        <w:footnoteReference w:id="9"/>
      </w:r>
      <w:r w:rsidRPr="00907398">
        <w:rPr>
          <w:bCs/>
        </w:rPr>
        <w:t>. ČS jsou pravidelně vyzývány k návrhu dílčích oblasti, kterým by se měl</w:t>
      </w:r>
      <w:r w:rsidR="00930E9D">
        <w:rPr>
          <w:bCs/>
        </w:rPr>
        <w:t>a</w:t>
      </w:r>
      <w:r w:rsidRPr="00907398">
        <w:rPr>
          <w:bCs/>
        </w:rPr>
        <w:t xml:space="preserve"> skupina dále věnovat</w:t>
      </w:r>
      <w:r>
        <w:rPr>
          <w:bCs/>
        </w:rPr>
        <w:t>.</w:t>
      </w:r>
    </w:p>
    <w:p w14:paraId="2FE1A7F2" w14:textId="77777777" w:rsidR="006F1953" w:rsidRDefault="00E4186C" w:rsidP="00E4186C">
      <w:pPr>
        <w:spacing w:before="120" w:after="120" w:line="360" w:lineRule="auto"/>
        <w:rPr>
          <w:bCs/>
        </w:rPr>
      </w:pPr>
      <w:r w:rsidRPr="00E4186C">
        <w:rPr>
          <w:bCs/>
        </w:rPr>
        <w:t xml:space="preserve">Novou aktivitou OECD v oblasti veřejného zdraví je </w:t>
      </w:r>
      <w:r w:rsidRPr="00DB1293">
        <w:rPr>
          <w:b/>
          <w:bCs/>
        </w:rPr>
        <w:t xml:space="preserve">přezkum ČS s názvem „Public </w:t>
      </w:r>
      <w:proofErr w:type="spellStart"/>
      <w:r w:rsidRPr="00DB1293">
        <w:rPr>
          <w:b/>
          <w:bCs/>
        </w:rPr>
        <w:t>Health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Reviews</w:t>
      </w:r>
      <w:proofErr w:type="spellEnd"/>
      <w:r w:rsidRPr="00DB1293">
        <w:rPr>
          <w:b/>
          <w:bCs/>
        </w:rPr>
        <w:t>“</w:t>
      </w:r>
      <w:r>
        <w:rPr>
          <w:rStyle w:val="Znakapoznpodarou"/>
          <w:bCs/>
        </w:rPr>
        <w:footnoteReference w:id="10"/>
      </w:r>
      <w:r w:rsidRPr="00E4186C">
        <w:rPr>
          <w:bCs/>
        </w:rPr>
        <w:t>.</w:t>
      </w:r>
      <w:r w:rsidRPr="00E4186C">
        <w:t xml:space="preserve"> </w:t>
      </w:r>
      <w:r w:rsidRPr="00E4186C">
        <w:rPr>
          <w:bCs/>
        </w:rPr>
        <w:t xml:space="preserve">Dosud se uskutečnil pouze v Chile, Japonsku a v Koreji, a to vždy </w:t>
      </w:r>
      <w:r w:rsidR="00B16F24">
        <w:rPr>
          <w:bCs/>
        </w:rPr>
        <w:t xml:space="preserve">se zaměřením </w:t>
      </w:r>
      <w:r w:rsidRPr="00E4186C">
        <w:rPr>
          <w:bCs/>
        </w:rPr>
        <w:t>na nějakou konkrétní oblast</w:t>
      </w:r>
      <w:r>
        <w:rPr>
          <w:bCs/>
        </w:rPr>
        <w:t xml:space="preserve"> (</w:t>
      </w:r>
      <w:r w:rsidRPr="00E4186C">
        <w:rPr>
          <w:bCs/>
        </w:rPr>
        <w:t>boj proti obezitě, proti alkoholu, primární prevence</w:t>
      </w:r>
      <w:r>
        <w:rPr>
          <w:bCs/>
        </w:rPr>
        <w:t>)</w:t>
      </w:r>
      <w:r w:rsidRPr="00E4186C">
        <w:rPr>
          <w:bCs/>
        </w:rPr>
        <w:t>. V letech 2019–2020 dojde k přezkumu Lotyšska a Slovenska. K přezkumu dochází na žádost ČS</w:t>
      </w:r>
      <w:r>
        <w:rPr>
          <w:bCs/>
        </w:rPr>
        <w:t xml:space="preserve"> (</w:t>
      </w:r>
      <w:r w:rsidRPr="00E4186C">
        <w:rPr>
          <w:bCs/>
        </w:rPr>
        <w:t>přezkum je financován ze strany zkoumané země).</w:t>
      </w:r>
    </w:p>
    <w:p w14:paraId="7EF4B4BE" w14:textId="77777777" w:rsidR="00E4186C" w:rsidRPr="00531E66" w:rsidRDefault="00265FB7" w:rsidP="00E4186C">
      <w:pPr>
        <w:spacing w:before="120" w:after="120" w:line="360" w:lineRule="auto"/>
        <w:rPr>
          <w:b/>
          <w:bCs/>
        </w:rPr>
      </w:pPr>
      <w:r>
        <w:rPr>
          <w:b/>
          <w:bCs/>
        </w:rPr>
        <w:t>5</w:t>
      </w:r>
      <w:r w:rsidR="00E4186C" w:rsidRPr="003E1D3C">
        <w:rPr>
          <w:b/>
          <w:bCs/>
        </w:rPr>
        <w:t>)</w:t>
      </w:r>
      <w:r w:rsidR="00E4186C">
        <w:rPr>
          <w:bCs/>
        </w:rPr>
        <w:t xml:space="preserve"> </w:t>
      </w:r>
      <w:r w:rsidR="00E4186C">
        <w:rPr>
          <w:b/>
          <w:bCs/>
        </w:rPr>
        <w:t>Stárnutí obyvatelstva a dlouhodobá péče</w:t>
      </w:r>
    </w:p>
    <w:p w14:paraId="0CC6E852" w14:textId="1B64345C" w:rsidR="00E4186C" w:rsidRDefault="00E4186C" w:rsidP="00E4186C">
      <w:pPr>
        <w:spacing w:before="120" w:after="120" w:line="360" w:lineRule="auto"/>
        <w:rPr>
          <w:bCs/>
        </w:rPr>
      </w:pPr>
      <w:r>
        <w:rPr>
          <w:bCs/>
        </w:rPr>
        <w:t xml:space="preserve">Předmětem zájmu OECD je také </w:t>
      </w:r>
      <w:r w:rsidRPr="00DB1293">
        <w:rPr>
          <w:b/>
          <w:bCs/>
        </w:rPr>
        <w:t>transformace zdravotního systému s ohledem na stárnutí obyvatelstva</w:t>
      </w:r>
      <w:r w:rsidR="007B30F9">
        <w:rPr>
          <w:bCs/>
        </w:rPr>
        <w:t xml:space="preserve">, </w:t>
      </w:r>
      <w:r w:rsidR="00CC7CAD">
        <w:rPr>
          <w:bCs/>
        </w:rPr>
        <w:t>a to i ve vztahu k</w:t>
      </w:r>
      <w:r w:rsidR="007B30F9">
        <w:rPr>
          <w:bCs/>
        </w:rPr>
        <w:t xml:space="preserve"> sociálně-zdravotním</w:t>
      </w:r>
      <w:r w:rsidR="00CC7CAD">
        <w:rPr>
          <w:bCs/>
        </w:rPr>
        <w:t>u</w:t>
      </w:r>
      <w:r w:rsidR="007B30F9">
        <w:rPr>
          <w:bCs/>
        </w:rPr>
        <w:t xml:space="preserve"> pomezí. </w:t>
      </w:r>
      <w:r w:rsidR="007B30F9" w:rsidRPr="0063297E">
        <w:rPr>
          <w:bCs/>
        </w:rPr>
        <w:t xml:space="preserve">HC se </w:t>
      </w:r>
      <w:r w:rsidR="007B30F9">
        <w:rPr>
          <w:bCs/>
        </w:rPr>
        <w:t xml:space="preserve">zaměřil na </w:t>
      </w:r>
      <w:r w:rsidR="007B30F9" w:rsidRPr="0063297E">
        <w:rPr>
          <w:bCs/>
        </w:rPr>
        <w:t>poskytování dlouhodobé péče,</w:t>
      </w:r>
      <w:r w:rsidR="007B30F9">
        <w:rPr>
          <w:bCs/>
        </w:rPr>
        <w:t xml:space="preserve"> resp. </w:t>
      </w:r>
      <w:r w:rsidR="007B30F9" w:rsidRPr="0063297E">
        <w:rPr>
          <w:bCs/>
        </w:rPr>
        <w:t xml:space="preserve">příklady dobré praxe, a to včetně sociální ochrany. Projekt </w:t>
      </w:r>
      <w:r w:rsidR="007B30F9">
        <w:rPr>
          <w:bCs/>
        </w:rPr>
        <w:t xml:space="preserve">však </w:t>
      </w:r>
      <w:r w:rsidR="007B30F9" w:rsidRPr="0063297E">
        <w:rPr>
          <w:bCs/>
        </w:rPr>
        <w:t>končí v tomto roce</w:t>
      </w:r>
      <w:r w:rsidR="00930E9D">
        <w:rPr>
          <w:bCs/>
        </w:rPr>
        <w:t>, je</w:t>
      </w:r>
      <w:r w:rsidR="00CC7CAD">
        <w:rPr>
          <w:bCs/>
        </w:rPr>
        <w:t>ho</w:t>
      </w:r>
      <w:r w:rsidR="00930E9D">
        <w:rPr>
          <w:bCs/>
        </w:rPr>
        <w:t xml:space="preserve"> v</w:t>
      </w:r>
      <w:r w:rsidR="007B30F9" w:rsidRPr="0063297E">
        <w:rPr>
          <w:bCs/>
        </w:rPr>
        <w:t>ýstupem bude publikac</w:t>
      </w:r>
      <w:r w:rsidR="007B30F9">
        <w:rPr>
          <w:bCs/>
        </w:rPr>
        <w:t xml:space="preserve">e. </w:t>
      </w:r>
      <w:r w:rsidR="00930E9D">
        <w:rPr>
          <w:bCs/>
        </w:rPr>
        <w:t>Klíčovým</w:t>
      </w:r>
      <w:r w:rsidR="007B30F9" w:rsidRPr="007B30F9">
        <w:rPr>
          <w:bCs/>
        </w:rPr>
        <w:t xml:space="preserve"> tématem je nyní </w:t>
      </w:r>
      <w:r w:rsidR="007B30F9" w:rsidRPr="00DB1293">
        <w:rPr>
          <w:b/>
          <w:bCs/>
        </w:rPr>
        <w:t>vzdělávání pracovníků</w:t>
      </w:r>
      <w:r w:rsidR="007B30F9">
        <w:rPr>
          <w:bCs/>
        </w:rPr>
        <w:t xml:space="preserve">. Od roku 2017 se HC zaměřuje na </w:t>
      </w:r>
      <w:r w:rsidR="007B30F9" w:rsidRPr="00DB1293">
        <w:rPr>
          <w:b/>
          <w:bCs/>
        </w:rPr>
        <w:t>lepší pochopení pracovní síly v oblasti dlouhodobé péče v zemích OECD</w:t>
      </w:r>
      <w:r w:rsidR="007B30F9" w:rsidRPr="007B30F9">
        <w:rPr>
          <w:bCs/>
        </w:rPr>
        <w:t>. Projekt bude</w:t>
      </w:r>
      <w:r w:rsidR="007B30F9">
        <w:rPr>
          <w:bCs/>
        </w:rPr>
        <w:t xml:space="preserve"> opět</w:t>
      </w:r>
      <w:r w:rsidR="007B30F9" w:rsidRPr="007B30F9">
        <w:rPr>
          <w:bCs/>
        </w:rPr>
        <w:t xml:space="preserve"> zakončen publikací</w:t>
      </w:r>
      <w:r w:rsidR="007B30F9">
        <w:rPr>
          <w:bCs/>
        </w:rPr>
        <w:t>. MZ</w:t>
      </w:r>
      <w:r w:rsidR="007B30F9" w:rsidRPr="0063297E">
        <w:rPr>
          <w:bCs/>
        </w:rPr>
        <w:t xml:space="preserve"> se v obou případech ve spolupráci s MPSV zapojil</w:t>
      </w:r>
      <w:r w:rsidR="00930E9D">
        <w:rPr>
          <w:bCs/>
        </w:rPr>
        <w:t>o</w:t>
      </w:r>
      <w:r w:rsidR="007B30F9" w:rsidRPr="0063297E">
        <w:rPr>
          <w:bCs/>
        </w:rPr>
        <w:t xml:space="preserve"> vyplněním dotazníků</w:t>
      </w:r>
      <w:r w:rsidR="007B30F9">
        <w:rPr>
          <w:bCs/>
        </w:rPr>
        <w:t xml:space="preserve"> (</w:t>
      </w:r>
      <w:r w:rsidR="007B30F9" w:rsidRPr="007B30F9">
        <w:rPr>
          <w:bCs/>
        </w:rPr>
        <w:t xml:space="preserve">ÚZIS </w:t>
      </w:r>
      <w:r w:rsidR="007B30F9">
        <w:rPr>
          <w:bCs/>
        </w:rPr>
        <w:t xml:space="preserve">dále </w:t>
      </w:r>
      <w:r w:rsidR="007B30F9" w:rsidRPr="007B30F9">
        <w:rPr>
          <w:bCs/>
        </w:rPr>
        <w:t>poskytoval data k této problematice</w:t>
      </w:r>
      <w:r w:rsidR="007B30F9">
        <w:rPr>
          <w:bCs/>
        </w:rPr>
        <w:t>)</w:t>
      </w:r>
      <w:r w:rsidR="007B30F9" w:rsidRPr="007B30F9">
        <w:rPr>
          <w:bCs/>
        </w:rPr>
        <w:t>.</w:t>
      </w:r>
      <w:r w:rsidR="007B30F9">
        <w:rPr>
          <w:bCs/>
        </w:rPr>
        <w:t xml:space="preserve"> </w:t>
      </w:r>
    </w:p>
    <w:p w14:paraId="45CB38AD" w14:textId="1C09FDE1" w:rsidR="007B30F9" w:rsidRDefault="00930E9D" w:rsidP="00E4186C">
      <w:pPr>
        <w:spacing w:before="120" w:after="120" w:line="360" w:lineRule="auto"/>
        <w:rPr>
          <w:bCs/>
        </w:rPr>
      </w:pPr>
      <w:r>
        <w:rPr>
          <w:bCs/>
        </w:rPr>
        <w:t xml:space="preserve">Pro ilustraci byl zmíněn také již ukončený projekt, kterému OECD přikládala velkou váhu, konkrétně se jednalo o </w:t>
      </w:r>
      <w:r w:rsidRPr="00DB1293">
        <w:rPr>
          <w:bCs/>
        </w:rPr>
        <w:t xml:space="preserve">projekt </w:t>
      </w:r>
      <w:r w:rsidR="00265FB7" w:rsidRPr="00DB1293">
        <w:rPr>
          <w:bCs/>
        </w:rPr>
        <w:t>zaměřený na demenci</w:t>
      </w:r>
      <w:r w:rsidR="00265FB7">
        <w:rPr>
          <w:rStyle w:val="Znakapoznpodarou"/>
          <w:bCs/>
        </w:rPr>
        <w:footnoteReference w:id="11"/>
      </w:r>
      <w:r w:rsidR="00265FB7">
        <w:rPr>
          <w:bCs/>
        </w:rPr>
        <w:t>. Projekt byl</w:t>
      </w:r>
      <w:r>
        <w:rPr>
          <w:bCs/>
        </w:rPr>
        <w:t xml:space="preserve"> zahájen v roce 2015 a</w:t>
      </w:r>
      <w:r w:rsidR="00265FB7">
        <w:rPr>
          <w:bCs/>
        </w:rPr>
        <w:t xml:space="preserve"> ukončen v polovině roku 2018</w:t>
      </w:r>
      <w:r w:rsidR="00800290">
        <w:rPr>
          <w:bCs/>
        </w:rPr>
        <w:t xml:space="preserve"> a ČR na projektu aktivně participovala (zejména ÚZIS)</w:t>
      </w:r>
      <w:r w:rsidR="00265FB7">
        <w:rPr>
          <w:bCs/>
        </w:rPr>
        <w:t xml:space="preserve">. Hlavním cílem bylo porovnávání </w:t>
      </w:r>
      <w:r w:rsidR="00265FB7" w:rsidRPr="00265FB7">
        <w:rPr>
          <w:bCs/>
        </w:rPr>
        <w:t>léčby a péče o pacienty s</w:t>
      </w:r>
      <w:r w:rsidR="00265FB7">
        <w:rPr>
          <w:bCs/>
        </w:rPr>
        <w:t> </w:t>
      </w:r>
      <w:r w:rsidR="00265FB7" w:rsidRPr="00265FB7">
        <w:rPr>
          <w:bCs/>
        </w:rPr>
        <w:t>demencí</w:t>
      </w:r>
      <w:r w:rsidR="00265FB7">
        <w:rPr>
          <w:bCs/>
        </w:rPr>
        <w:t xml:space="preserve"> a stanovení odhadů zátěže onemocnění demencí (</w:t>
      </w:r>
      <w:r w:rsidR="00265FB7" w:rsidRPr="00265FB7">
        <w:rPr>
          <w:bCs/>
        </w:rPr>
        <w:t>diagnostikovaných a nediagnostikovaných) v rámci zemí OECD</w:t>
      </w:r>
      <w:r w:rsidR="00265FB7">
        <w:rPr>
          <w:bCs/>
        </w:rPr>
        <w:t>.</w:t>
      </w:r>
    </w:p>
    <w:p w14:paraId="204A291B" w14:textId="77777777" w:rsidR="00265FB7" w:rsidRPr="00531E66" w:rsidRDefault="00265FB7" w:rsidP="00265FB7">
      <w:pPr>
        <w:spacing w:before="120" w:after="120" w:line="360" w:lineRule="auto"/>
        <w:rPr>
          <w:b/>
          <w:bCs/>
        </w:rPr>
      </w:pPr>
      <w:r>
        <w:rPr>
          <w:b/>
          <w:bCs/>
        </w:rPr>
        <w:t>6</w:t>
      </w:r>
      <w:r w:rsidRPr="003E1D3C">
        <w:rPr>
          <w:b/>
          <w:bCs/>
        </w:rPr>
        <w:t>)</w:t>
      </w:r>
      <w:r>
        <w:rPr>
          <w:bCs/>
        </w:rPr>
        <w:t xml:space="preserve"> </w:t>
      </w:r>
      <w:r>
        <w:rPr>
          <w:b/>
          <w:bCs/>
        </w:rPr>
        <w:t>Duševní zdraví</w:t>
      </w:r>
    </w:p>
    <w:p w14:paraId="5817A5A2" w14:textId="77777777" w:rsidR="00265FB7" w:rsidRDefault="00265FB7" w:rsidP="00E4186C">
      <w:pPr>
        <w:spacing w:before="120" w:after="120" w:line="360" w:lineRule="auto"/>
        <w:rPr>
          <w:bCs/>
        </w:rPr>
      </w:pPr>
      <w:r>
        <w:rPr>
          <w:bCs/>
        </w:rPr>
        <w:t xml:space="preserve">Předmětem zájmu OECD je vlivem setkání ministrů v roce 2017 také duševní zdraví. V roce </w:t>
      </w:r>
      <w:r w:rsidRPr="00265FB7">
        <w:rPr>
          <w:bCs/>
        </w:rPr>
        <w:t>2018</w:t>
      </w:r>
      <w:r w:rsidR="00930E9D">
        <w:rPr>
          <w:bCs/>
        </w:rPr>
        <w:t xml:space="preserve"> byl</w:t>
      </w:r>
      <w:r w:rsidRPr="00265FB7">
        <w:rPr>
          <w:bCs/>
        </w:rPr>
        <w:t xml:space="preserve"> vytvořen </w:t>
      </w:r>
      <w:r w:rsidRPr="00DB1293">
        <w:rPr>
          <w:b/>
          <w:bCs/>
        </w:rPr>
        <w:t xml:space="preserve">OECD </w:t>
      </w:r>
      <w:proofErr w:type="spellStart"/>
      <w:r w:rsidRPr="00DB1293">
        <w:rPr>
          <w:b/>
          <w:bCs/>
        </w:rPr>
        <w:t>Mental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Health</w:t>
      </w:r>
      <w:proofErr w:type="spellEnd"/>
      <w:r w:rsidRPr="00DB1293">
        <w:rPr>
          <w:b/>
          <w:bCs/>
        </w:rPr>
        <w:t xml:space="preserve"> Performance Framework</w:t>
      </w:r>
      <w:r>
        <w:rPr>
          <w:rStyle w:val="Znakapoznpodarou"/>
          <w:bCs/>
        </w:rPr>
        <w:footnoteReference w:id="12"/>
      </w:r>
      <w:r>
        <w:rPr>
          <w:bCs/>
        </w:rPr>
        <w:t>.</w:t>
      </w:r>
      <w:r w:rsidRPr="00265FB7">
        <w:rPr>
          <w:bCs/>
        </w:rPr>
        <w:t xml:space="preserve"> </w:t>
      </w:r>
      <w:r>
        <w:rPr>
          <w:bCs/>
        </w:rPr>
        <w:t>Ú</w:t>
      </w:r>
      <w:r w:rsidRPr="00265FB7">
        <w:rPr>
          <w:bCs/>
        </w:rPr>
        <w:t>vodního jednání</w:t>
      </w:r>
      <w:r>
        <w:rPr>
          <w:bCs/>
        </w:rPr>
        <w:t>, které stanovilo základní zaměření a pilíře projektu</w:t>
      </w:r>
      <w:r w:rsidR="000125E7">
        <w:rPr>
          <w:bCs/>
        </w:rPr>
        <w:t>,</w:t>
      </w:r>
      <w:r>
        <w:rPr>
          <w:bCs/>
        </w:rPr>
        <w:t xml:space="preserve"> se účastnila za ČR</w:t>
      </w:r>
      <w:r w:rsidRPr="00265FB7">
        <w:rPr>
          <w:bCs/>
        </w:rPr>
        <w:t xml:space="preserve"> paní</w:t>
      </w:r>
      <w:r w:rsidR="000125E7">
        <w:rPr>
          <w:bCs/>
        </w:rPr>
        <w:t xml:space="preserve"> D.</w:t>
      </w:r>
      <w:r w:rsidRPr="00265FB7">
        <w:rPr>
          <w:bCs/>
        </w:rPr>
        <w:t xml:space="preserve"> Protopopová.</w:t>
      </w:r>
      <w:r w:rsidRPr="00265FB7">
        <w:t xml:space="preserve"> </w:t>
      </w:r>
      <w:r w:rsidRPr="00265FB7">
        <w:rPr>
          <w:bCs/>
        </w:rPr>
        <w:t xml:space="preserve">Ve spolupráci </w:t>
      </w:r>
      <w:r>
        <w:rPr>
          <w:bCs/>
        </w:rPr>
        <w:t xml:space="preserve">s ČS dojde ke vzniku </w:t>
      </w:r>
      <w:proofErr w:type="spellStart"/>
      <w:r>
        <w:rPr>
          <w:bCs/>
        </w:rPr>
        <w:t>b</w:t>
      </w:r>
      <w:r w:rsidRPr="00265FB7">
        <w:rPr>
          <w:bCs/>
        </w:rPr>
        <w:t>enchmark</w:t>
      </w:r>
      <w:r>
        <w:rPr>
          <w:bCs/>
        </w:rPr>
        <w:t>u</w:t>
      </w:r>
      <w:proofErr w:type="spellEnd"/>
      <w:r w:rsidRPr="00265FB7">
        <w:rPr>
          <w:bCs/>
        </w:rPr>
        <w:t xml:space="preserve"> OECD pro srovnání výkonnosti v oblasti duševního zdraví.</w:t>
      </w:r>
      <w:r>
        <w:rPr>
          <w:bCs/>
        </w:rPr>
        <w:t xml:space="preserve"> </w:t>
      </w:r>
      <w:r w:rsidRPr="0063297E">
        <w:rPr>
          <w:bCs/>
        </w:rPr>
        <w:t>Nyní dochází k vývoji rámce výkonnosti duševního zdraví OECD a</w:t>
      </w:r>
      <w:r>
        <w:rPr>
          <w:bCs/>
        </w:rPr>
        <w:t> </w:t>
      </w:r>
      <w:r w:rsidRPr="0063297E">
        <w:rPr>
          <w:bCs/>
        </w:rPr>
        <w:t xml:space="preserve">shromažďování ukazatelů pro měření výkonnosti. </w:t>
      </w:r>
      <w:r>
        <w:rPr>
          <w:bCs/>
        </w:rPr>
        <w:t xml:space="preserve">Prostřednictvím uvedeného rámce se </w:t>
      </w:r>
      <w:r>
        <w:rPr>
          <w:bCs/>
        </w:rPr>
        <w:lastRenderedPageBreak/>
        <w:t>následně budou systematicky a dle daných ukazatelů mapovat politiky ČS. Rámec spolu s</w:t>
      </w:r>
      <w:r w:rsidRPr="0063297E">
        <w:rPr>
          <w:bCs/>
        </w:rPr>
        <w:t> </w:t>
      </w:r>
      <w:proofErr w:type="spellStart"/>
      <w:r w:rsidRPr="0063297E">
        <w:rPr>
          <w:bCs/>
        </w:rPr>
        <w:t>benchmarkem</w:t>
      </w:r>
      <w:proofErr w:type="spellEnd"/>
      <w:r w:rsidRPr="0063297E">
        <w:rPr>
          <w:bCs/>
        </w:rPr>
        <w:t xml:space="preserve"> by měl být hotový v polovině roku 2020</w:t>
      </w:r>
      <w:r>
        <w:rPr>
          <w:bCs/>
        </w:rPr>
        <w:t>. ČR se podílí vyplněním dotazníků.</w:t>
      </w:r>
    </w:p>
    <w:p w14:paraId="1E3A13DE" w14:textId="77777777" w:rsidR="00265FB7" w:rsidRDefault="00A55022" w:rsidP="00E4186C">
      <w:pPr>
        <w:spacing w:before="120" w:after="120" w:line="360" w:lineRule="auto"/>
        <w:rPr>
          <w:bCs/>
        </w:rPr>
      </w:pPr>
      <w:r>
        <w:rPr>
          <w:bCs/>
        </w:rPr>
        <w:t xml:space="preserve">Rada OECD k tomuto tématu schválila v roce 2015 </w:t>
      </w:r>
      <w:r w:rsidRPr="00DB1293">
        <w:rPr>
          <w:b/>
          <w:bCs/>
        </w:rPr>
        <w:t>doporučení k integrovanému přístupu k duševnímu zdraví, dovednostem a práci</w:t>
      </w:r>
      <w:r>
        <w:rPr>
          <w:bCs/>
        </w:rPr>
        <w:t xml:space="preserve">. MZ ve spolupráci s MŠMT a MPSV na žádost Sekretariátu vyhodnocuje jeho implementaci v ČR. </w:t>
      </w:r>
      <w:r w:rsidRPr="00A55022">
        <w:rPr>
          <w:bCs/>
        </w:rPr>
        <w:t>Výstupy z dotazníku budou využity jako podklad pro konferenci o osvědčených postupech, která bude uspořádána ve 2. čtvrtletí 2020, a pro nadcházející monitorovací zprávu o implementaci Doporučení Rady OECD v roce 2021</w:t>
      </w:r>
      <w:r w:rsidR="00462487">
        <w:rPr>
          <w:bCs/>
        </w:rPr>
        <w:t>.</w:t>
      </w:r>
    </w:p>
    <w:p w14:paraId="3518E139" w14:textId="77777777" w:rsidR="00A55022" w:rsidRDefault="00A55022" w:rsidP="00A55022">
      <w:pPr>
        <w:spacing w:before="120" w:after="120" w:line="360" w:lineRule="auto"/>
        <w:rPr>
          <w:b/>
          <w:bCs/>
        </w:rPr>
      </w:pPr>
      <w:r>
        <w:rPr>
          <w:b/>
          <w:bCs/>
        </w:rPr>
        <w:t>7)</w:t>
      </w:r>
      <w:r>
        <w:rPr>
          <w:bCs/>
        </w:rPr>
        <w:t xml:space="preserve"> </w:t>
      </w:r>
      <w:r>
        <w:rPr>
          <w:b/>
          <w:bCs/>
        </w:rPr>
        <w:t>Farmaceutika a nové technologie</w:t>
      </w:r>
    </w:p>
    <w:p w14:paraId="16851CAE" w14:textId="2BF09616" w:rsidR="00A55022" w:rsidRDefault="00A55022" w:rsidP="00A55022">
      <w:pPr>
        <w:spacing w:before="120" w:after="120" w:line="360" w:lineRule="auto"/>
        <w:rPr>
          <w:bCs/>
        </w:rPr>
      </w:pPr>
      <w:r>
        <w:rPr>
          <w:bCs/>
        </w:rPr>
        <w:t xml:space="preserve">Téma, které je předmětem zájmu </w:t>
      </w:r>
      <w:r w:rsidRPr="00A55022">
        <w:rPr>
          <w:bCs/>
        </w:rPr>
        <w:t xml:space="preserve">Expert Group on </w:t>
      </w:r>
      <w:proofErr w:type="spellStart"/>
      <w:r w:rsidRPr="00A55022">
        <w:rPr>
          <w:bCs/>
        </w:rPr>
        <w:t>Pharmaceuticals</w:t>
      </w:r>
      <w:proofErr w:type="spellEnd"/>
      <w:r w:rsidRPr="00A55022">
        <w:rPr>
          <w:bCs/>
        </w:rPr>
        <w:t xml:space="preserve"> and </w:t>
      </w:r>
      <w:proofErr w:type="spellStart"/>
      <w:r w:rsidRPr="00A55022">
        <w:rPr>
          <w:bCs/>
        </w:rPr>
        <w:t>Medical</w:t>
      </w:r>
      <w:proofErr w:type="spellEnd"/>
      <w:r w:rsidRPr="00A55022">
        <w:rPr>
          <w:bCs/>
        </w:rPr>
        <w:t xml:space="preserve"> </w:t>
      </w:r>
      <w:proofErr w:type="spellStart"/>
      <w:r w:rsidRPr="00A55022">
        <w:rPr>
          <w:bCs/>
        </w:rPr>
        <w:t>Devices</w:t>
      </w:r>
      <w:proofErr w:type="spellEnd"/>
      <w:r>
        <w:rPr>
          <w:bCs/>
        </w:rPr>
        <w:t xml:space="preserve">. Aktivity se dotýkají zejména </w:t>
      </w:r>
      <w:r w:rsidRPr="00DB1293">
        <w:rPr>
          <w:b/>
          <w:bCs/>
        </w:rPr>
        <w:t>srovnávaní cenových politik v rámci OECD</w:t>
      </w:r>
      <w:r>
        <w:rPr>
          <w:bCs/>
        </w:rPr>
        <w:t xml:space="preserve">, odhadování výdajů za farmaceutika a předvídání dynamiky trhu. V tuto chvíli existují hned </w:t>
      </w:r>
      <w:r w:rsidRPr="00A55022">
        <w:rPr>
          <w:bCs/>
        </w:rPr>
        <w:t>dva projekty zaměřen</w:t>
      </w:r>
      <w:r w:rsidR="00CC7CAD">
        <w:rPr>
          <w:bCs/>
        </w:rPr>
        <w:t>é</w:t>
      </w:r>
      <w:r w:rsidRPr="00A55022">
        <w:rPr>
          <w:bCs/>
        </w:rPr>
        <w:t xml:space="preserve"> na zkvalitnění sběru dat, které se týkají výdajů na léčiva a zdravotnické prostředky.</w:t>
      </w:r>
      <w:r>
        <w:rPr>
          <w:bCs/>
        </w:rPr>
        <w:t xml:space="preserve"> OECD k těmto projektům připravil</w:t>
      </w:r>
      <w:r w:rsidR="00CC7CAD">
        <w:rPr>
          <w:bCs/>
        </w:rPr>
        <w:t>a</w:t>
      </w:r>
      <w:r>
        <w:rPr>
          <w:bCs/>
        </w:rPr>
        <w:t xml:space="preserve"> v říjnu t.r. workshop, kterého se bude ČR účastnit.</w:t>
      </w:r>
      <w:r w:rsidR="00EA3727">
        <w:rPr>
          <w:bCs/>
        </w:rPr>
        <w:t xml:space="preserve"> </w:t>
      </w:r>
    </w:p>
    <w:p w14:paraId="0BA9F1F1" w14:textId="5EB5EDD7" w:rsidR="00EA3727" w:rsidRDefault="00EA3727" w:rsidP="00A55022">
      <w:pPr>
        <w:spacing w:before="120" w:after="120" w:line="360" w:lineRule="auto"/>
        <w:rPr>
          <w:bCs/>
        </w:rPr>
      </w:pPr>
      <w:r>
        <w:rPr>
          <w:bCs/>
        </w:rPr>
        <w:t xml:space="preserve">Skupina se zabývá celou řadou témat, jako je racionální užívání léčiv, </w:t>
      </w:r>
      <w:r w:rsidRPr="0063297E">
        <w:rPr>
          <w:bCs/>
        </w:rPr>
        <w:t>vstup inovativních léčiv na trh</w:t>
      </w:r>
      <w:r w:rsidR="000125E7">
        <w:rPr>
          <w:bCs/>
        </w:rPr>
        <w:t xml:space="preserve"> (byla připravena publikace, zaměřeno i specificky, např. téma </w:t>
      </w:r>
      <w:r w:rsidR="000125E7" w:rsidRPr="00EA3727">
        <w:rPr>
          <w:bCs/>
        </w:rPr>
        <w:t>vstup</w:t>
      </w:r>
      <w:r w:rsidR="00CC7CAD">
        <w:rPr>
          <w:bCs/>
        </w:rPr>
        <w:t>u</w:t>
      </w:r>
      <w:r w:rsidR="000125E7" w:rsidRPr="00EA3727">
        <w:rPr>
          <w:bCs/>
        </w:rPr>
        <w:t xml:space="preserve"> nákladných onkologických léků</w:t>
      </w:r>
      <w:r w:rsidR="000125E7">
        <w:rPr>
          <w:bCs/>
        </w:rPr>
        <w:t>)</w:t>
      </w:r>
      <w:r>
        <w:rPr>
          <w:bCs/>
        </w:rPr>
        <w:t xml:space="preserve">, </w:t>
      </w:r>
      <w:r w:rsidRPr="0063297E">
        <w:rPr>
          <w:bCs/>
        </w:rPr>
        <w:t>výzkum a vývoj</w:t>
      </w:r>
      <w:r>
        <w:rPr>
          <w:bCs/>
        </w:rPr>
        <w:t xml:space="preserve">, a další. </w:t>
      </w:r>
      <w:r w:rsidRPr="00EA3727">
        <w:rPr>
          <w:bCs/>
        </w:rPr>
        <w:t xml:space="preserve">ČR </w:t>
      </w:r>
      <w:r w:rsidR="000125E7">
        <w:rPr>
          <w:bCs/>
        </w:rPr>
        <w:t xml:space="preserve">je v této skupině aktivní a </w:t>
      </w:r>
      <w:r w:rsidRPr="00EA3727">
        <w:rPr>
          <w:bCs/>
        </w:rPr>
        <w:t>např. poskytla informace o projektu o řízeném vstupu léčivých přípravků.</w:t>
      </w:r>
      <w:r>
        <w:rPr>
          <w:bCs/>
        </w:rPr>
        <w:t xml:space="preserve"> V současné době se připravují nové indikátory týkající se bezpečného předepisování. V začátcích je také projekt zaměřený na genetické testování.</w:t>
      </w:r>
      <w:r>
        <w:t xml:space="preserve"> </w:t>
      </w:r>
      <w:r w:rsidRPr="00EA3727">
        <w:rPr>
          <w:bCs/>
        </w:rPr>
        <w:t xml:space="preserve">Projekt má za cíl popsat problematiku genetického testování v zemích OECD (dostupnost, hrazení atd.) se zaměřením na genetické testy. ČR nominovala </w:t>
      </w:r>
      <w:r w:rsidR="00CC7CAD">
        <w:rPr>
          <w:bCs/>
        </w:rPr>
        <w:t>pana M.</w:t>
      </w:r>
      <w:r w:rsidRPr="00EA3727">
        <w:rPr>
          <w:bCs/>
        </w:rPr>
        <w:t xml:space="preserve"> Macka</w:t>
      </w:r>
      <w:r w:rsidR="00CC7CAD">
        <w:rPr>
          <w:bCs/>
        </w:rPr>
        <w:t xml:space="preserve"> (2. LF UK, FN Motol)</w:t>
      </w:r>
      <w:r w:rsidRPr="00EA3727">
        <w:rPr>
          <w:bCs/>
        </w:rPr>
        <w:t xml:space="preserve">. </w:t>
      </w:r>
      <w:r>
        <w:rPr>
          <w:bCs/>
        </w:rPr>
        <w:t>Dle vyjádření Sekretariátu je však projekt pozastaven, dokud nebudou na projekt alokovány potřebné finance.</w:t>
      </w:r>
    </w:p>
    <w:p w14:paraId="11B35CE8" w14:textId="77777777" w:rsidR="00EA3727" w:rsidRDefault="00EA3727" w:rsidP="00EA3727">
      <w:pPr>
        <w:spacing w:before="120" w:after="120" w:line="360" w:lineRule="auto"/>
        <w:rPr>
          <w:b/>
          <w:bCs/>
        </w:rPr>
      </w:pPr>
      <w:r>
        <w:rPr>
          <w:b/>
          <w:bCs/>
        </w:rPr>
        <w:t>8)</w:t>
      </w:r>
      <w:r>
        <w:rPr>
          <w:bCs/>
        </w:rPr>
        <w:t xml:space="preserve"> </w:t>
      </w:r>
      <w:r>
        <w:rPr>
          <w:b/>
          <w:bCs/>
        </w:rPr>
        <w:t>Pracovní síly ve zdravotnictví</w:t>
      </w:r>
    </w:p>
    <w:p w14:paraId="28FFE628" w14:textId="2FAEE07F" w:rsidR="00EA3727" w:rsidRDefault="00EA3727" w:rsidP="00A55022">
      <w:pPr>
        <w:spacing w:before="120" w:after="120" w:line="360" w:lineRule="auto"/>
        <w:rPr>
          <w:bCs/>
        </w:rPr>
      </w:pPr>
      <w:r>
        <w:rPr>
          <w:bCs/>
        </w:rPr>
        <w:t xml:space="preserve">Předmětem zájmu je </w:t>
      </w:r>
      <w:r w:rsidRPr="00DB1293">
        <w:rPr>
          <w:b/>
          <w:bCs/>
        </w:rPr>
        <w:t>naplnění budoucích potřeb pracovní síly ve zdravotnictví</w:t>
      </w:r>
      <w:r>
        <w:rPr>
          <w:bCs/>
        </w:rPr>
        <w:t xml:space="preserve"> (např. otázka potřeby nových dovedností, je prováz</w:t>
      </w:r>
      <w:r w:rsidR="00CC7CAD">
        <w:rPr>
          <w:bCs/>
        </w:rPr>
        <w:t>á</w:t>
      </w:r>
      <w:r>
        <w:rPr>
          <w:bCs/>
        </w:rPr>
        <w:t>n</w:t>
      </w:r>
      <w:r w:rsidR="00CC7CAD">
        <w:rPr>
          <w:bCs/>
        </w:rPr>
        <w:t>o</w:t>
      </w:r>
      <w:r>
        <w:rPr>
          <w:bCs/>
        </w:rPr>
        <w:t xml:space="preserve"> </w:t>
      </w:r>
      <w:r w:rsidR="000125E7">
        <w:rPr>
          <w:bCs/>
        </w:rPr>
        <w:t xml:space="preserve">zejména </w:t>
      </w:r>
      <w:r>
        <w:rPr>
          <w:bCs/>
        </w:rPr>
        <w:t>s tématem dlouhodobé péči)</w:t>
      </w:r>
      <w:r w:rsidRPr="00EA3727">
        <w:t xml:space="preserve"> </w:t>
      </w:r>
      <w:r w:rsidRPr="00EA3727">
        <w:rPr>
          <w:bCs/>
        </w:rPr>
        <w:t>Hlavní publikace v této oblasti již vyšla</w:t>
      </w:r>
      <w:r>
        <w:rPr>
          <w:rStyle w:val="Znakapoznpodarou"/>
          <w:bCs/>
        </w:rPr>
        <w:footnoteReference w:id="13"/>
      </w:r>
      <w:r>
        <w:rPr>
          <w:bCs/>
        </w:rPr>
        <w:t>, nicméně Sekretariát se k tomuto tématu pravidelně vrací</w:t>
      </w:r>
      <w:r w:rsidRPr="00EA3727">
        <w:rPr>
          <w:bCs/>
        </w:rPr>
        <w:t xml:space="preserve">. </w:t>
      </w:r>
      <w:r w:rsidRPr="00DB1293">
        <w:rPr>
          <w:b/>
          <w:bCs/>
        </w:rPr>
        <w:t>OECD spolu s WHO a ILO spolupracuje v Mezinárodní platformě mobility zdravotnických pracovníků</w:t>
      </w:r>
      <w:r>
        <w:rPr>
          <w:rStyle w:val="Znakapoznpodarou"/>
          <w:bCs/>
        </w:rPr>
        <w:footnoteReference w:id="14"/>
      </w:r>
      <w:r>
        <w:rPr>
          <w:bCs/>
        </w:rPr>
        <w:t>.</w:t>
      </w:r>
      <w:r w:rsidR="00285102">
        <w:rPr>
          <w:bCs/>
        </w:rPr>
        <w:t xml:space="preserve"> Současným cílem aktivit Sekretariátu je </w:t>
      </w:r>
      <w:r w:rsidR="00285102" w:rsidRPr="00285102">
        <w:rPr>
          <w:bCs/>
        </w:rPr>
        <w:t>zlepšit monitorování zdravotnického personálu a jeho migrace prostřednictvím lepšího sběru dat</w:t>
      </w:r>
      <w:r w:rsidR="00285102">
        <w:rPr>
          <w:bCs/>
        </w:rPr>
        <w:t>.</w:t>
      </w:r>
    </w:p>
    <w:p w14:paraId="7C2D5702" w14:textId="77777777" w:rsidR="000125E7" w:rsidRDefault="000125E7" w:rsidP="00A55022">
      <w:pPr>
        <w:spacing w:before="120" w:after="120" w:line="360" w:lineRule="auto"/>
        <w:rPr>
          <w:bCs/>
        </w:rPr>
      </w:pPr>
    </w:p>
    <w:p w14:paraId="726FD6B1" w14:textId="77777777" w:rsidR="00285102" w:rsidRDefault="00285102" w:rsidP="00285102">
      <w:pPr>
        <w:spacing w:before="120" w:after="120" w:line="360" w:lineRule="auto"/>
        <w:rPr>
          <w:b/>
          <w:bCs/>
        </w:rPr>
      </w:pPr>
      <w:r>
        <w:rPr>
          <w:b/>
          <w:bCs/>
        </w:rPr>
        <w:lastRenderedPageBreak/>
        <w:t>9)</w:t>
      </w:r>
      <w:r>
        <w:rPr>
          <w:bCs/>
        </w:rPr>
        <w:t xml:space="preserve"> </w:t>
      </w:r>
      <w:r>
        <w:rPr>
          <w:b/>
          <w:bCs/>
        </w:rPr>
        <w:t>Nové technologie</w:t>
      </w:r>
    </w:p>
    <w:p w14:paraId="478C44F4" w14:textId="62E7244D" w:rsidR="00285102" w:rsidRDefault="00285102" w:rsidP="00A55022">
      <w:pPr>
        <w:spacing w:before="120" w:after="120" w:line="360" w:lineRule="auto"/>
        <w:rPr>
          <w:bCs/>
        </w:rPr>
      </w:pPr>
      <w:r>
        <w:rPr>
          <w:bCs/>
        </w:rPr>
        <w:t xml:space="preserve">V souladu s mandátem ministrů zdravotnictví z roku 2017 si HC klade za cíl </w:t>
      </w:r>
      <w:r w:rsidRPr="00285102">
        <w:rPr>
          <w:bCs/>
        </w:rPr>
        <w:t>využívání informačních a komunikačních technologií</w:t>
      </w:r>
      <w:r>
        <w:rPr>
          <w:bCs/>
        </w:rPr>
        <w:t xml:space="preserve"> ve zdravotnictví. Jedná se o aktivitu spadající pod horizontální projekt </w:t>
      </w:r>
      <w:proofErr w:type="spellStart"/>
      <w:r>
        <w:rPr>
          <w:bCs/>
        </w:rPr>
        <w:t>Going</w:t>
      </w:r>
      <w:proofErr w:type="spellEnd"/>
      <w:r>
        <w:rPr>
          <w:bCs/>
        </w:rPr>
        <w:t xml:space="preserve"> Digital II</w:t>
      </w:r>
      <w:r w:rsidR="000125E7">
        <w:rPr>
          <w:rStyle w:val="Znakapoznpodarou"/>
          <w:bCs/>
        </w:rPr>
        <w:footnoteReference w:id="15"/>
      </w:r>
      <w:r>
        <w:rPr>
          <w:bCs/>
        </w:rPr>
        <w:t xml:space="preserve">, který se týká celé řady oblastí (a výborů) OECD. V této souvislosti se v listopadu </w:t>
      </w:r>
      <w:r w:rsidRPr="00DB1293">
        <w:rPr>
          <w:b/>
          <w:bCs/>
        </w:rPr>
        <w:t>uskuteční fórum na vysoké úrovni „</w:t>
      </w:r>
      <w:proofErr w:type="spellStart"/>
      <w:r w:rsidRPr="00DB1293">
        <w:rPr>
          <w:b/>
          <w:bCs/>
        </w:rPr>
        <w:t>Health</w:t>
      </w:r>
      <w:proofErr w:type="spellEnd"/>
      <w:r w:rsidRPr="00DB1293">
        <w:rPr>
          <w:b/>
          <w:bCs/>
        </w:rPr>
        <w:t xml:space="preserve"> in </w:t>
      </w:r>
      <w:proofErr w:type="spellStart"/>
      <w:r w:rsidRPr="00DB1293">
        <w:rPr>
          <w:b/>
          <w:bCs/>
        </w:rPr>
        <w:t>the</w:t>
      </w:r>
      <w:proofErr w:type="spellEnd"/>
      <w:r w:rsidRPr="00DB1293">
        <w:rPr>
          <w:b/>
          <w:bCs/>
        </w:rPr>
        <w:t xml:space="preserve"> 21st </w:t>
      </w:r>
      <w:proofErr w:type="spellStart"/>
      <w:r w:rsidRPr="00DB1293">
        <w:rPr>
          <w:b/>
          <w:bCs/>
        </w:rPr>
        <w:t>century</w:t>
      </w:r>
      <w:proofErr w:type="spellEnd"/>
      <w:r w:rsidRPr="00DB1293">
        <w:rPr>
          <w:b/>
          <w:bCs/>
        </w:rPr>
        <w:t xml:space="preserve">: data, </w:t>
      </w:r>
      <w:proofErr w:type="spellStart"/>
      <w:r w:rsidRPr="00DB1293">
        <w:rPr>
          <w:b/>
          <w:bCs/>
        </w:rPr>
        <w:t>policy</w:t>
      </w:r>
      <w:proofErr w:type="spellEnd"/>
      <w:r w:rsidRPr="00DB1293">
        <w:rPr>
          <w:b/>
          <w:bCs/>
        </w:rPr>
        <w:t xml:space="preserve">, and </w:t>
      </w:r>
      <w:proofErr w:type="spellStart"/>
      <w:r w:rsidRPr="00DB1293">
        <w:rPr>
          <w:b/>
          <w:bCs/>
        </w:rPr>
        <w:t>digital</w:t>
      </w:r>
      <w:proofErr w:type="spellEnd"/>
      <w:r w:rsidRPr="00DB1293">
        <w:rPr>
          <w:b/>
          <w:bCs/>
        </w:rPr>
        <w:t xml:space="preserve"> technology“, kterého se zúčastní také pan ministr Vojtěch</w:t>
      </w:r>
      <w:r>
        <w:rPr>
          <w:bCs/>
        </w:rPr>
        <w:t xml:space="preserve">. </w:t>
      </w:r>
      <w:r w:rsidRPr="00285102">
        <w:rPr>
          <w:bCs/>
        </w:rPr>
        <w:t>Cílem Fóra je sdílení zkušeností o využívání dat a digitálních technologií ve prospěch pacientů. Mezi konkrétní témata Fóra patří reforma modelů poskytovaných služeb, aby byly více orientované na potřeby pacientů, dále opatření k úpravě dovedností zdravotnických pracovníků s ohledem na digitalizaci zdravotnictví, či správu využití dat</w:t>
      </w:r>
      <w:r>
        <w:rPr>
          <w:bCs/>
        </w:rPr>
        <w:t xml:space="preserve">. Tématem Sekretariátu je také telemedicína a (primárně v rámci </w:t>
      </w:r>
      <w:proofErr w:type="spellStart"/>
      <w:r>
        <w:rPr>
          <w:bCs/>
        </w:rPr>
        <w:t>Going</w:t>
      </w:r>
      <w:proofErr w:type="spellEnd"/>
      <w:r>
        <w:rPr>
          <w:bCs/>
        </w:rPr>
        <w:t xml:space="preserve"> Digital II) také ochrana a důvěra zdravotních údajů. V tomto kontextu </w:t>
      </w:r>
      <w:r w:rsidR="000125E7">
        <w:rPr>
          <w:bCs/>
        </w:rPr>
        <w:t>bylo zmíněn</w:t>
      </w:r>
      <w:r w:rsidR="00CC7CAD">
        <w:rPr>
          <w:bCs/>
        </w:rPr>
        <w:t>o</w:t>
      </w:r>
      <w:r w:rsidR="000125E7">
        <w:rPr>
          <w:bCs/>
        </w:rPr>
        <w:t xml:space="preserve"> také související</w:t>
      </w:r>
      <w:r>
        <w:rPr>
          <w:bCs/>
        </w:rPr>
        <w:t xml:space="preserve"> </w:t>
      </w:r>
      <w:r w:rsidRPr="00DB1293">
        <w:rPr>
          <w:b/>
          <w:bCs/>
        </w:rPr>
        <w:t>Doporučení Rady OECD ke správě zdravotních údajů z roku 2016.</w:t>
      </w:r>
    </w:p>
    <w:p w14:paraId="6B3E19D5" w14:textId="77777777" w:rsidR="00285102" w:rsidRDefault="00285102" w:rsidP="00285102">
      <w:pPr>
        <w:spacing w:before="120" w:after="120" w:line="360" w:lineRule="auto"/>
        <w:rPr>
          <w:b/>
          <w:bCs/>
        </w:rPr>
      </w:pPr>
      <w:r>
        <w:rPr>
          <w:b/>
          <w:bCs/>
        </w:rPr>
        <w:t>10)</w:t>
      </w:r>
      <w:r>
        <w:rPr>
          <w:bCs/>
        </w:rPr>
        <w:t xml:space="preserve"> </w:t>
      </w:r>
      <w:r w:rsidR="005D4054">
        <w:rPr>
          <w:b/>
          <w:bCs/>
        </w:rPr>
        <w:t>Globální zdraví</w:t>
      </w:r>
    </w:p>
    <w:p w14:paraId="4871EE60" w14:textId="77777777" w:rsidR="00634AEA" w:rsidRDefault="00634AEA" w:rsidP="00A55022">
      <w:pPr>
        <w:spacing w:before="120" w:after="120" w:line="360" w:lineRule="auto"/>
        <w:rPr>
          <w:bCs/>
        </w:rPr>
      </w:pPr>
      <w:r>
        <w:rPr>
          <w:bCs/>
        </w:rPr>
        <w:t>OECD se podobně jako jiné mezinárodní organizace zavázala, aby její cíle byly v souladu s</w:t>
      </w:r>
      <w:r w:rsidR="000125E7">
        <w:rPr>
          <w:bCs/>
        </w:rPr>
        <w:t> naplňování</w:t>
      </w:r>
      <w:r w:rsidR="00CC7CAD">
        <w:rPr>
          <w:bCs/>
        </w:rPr>
        <w:t>m</w:t>
      </w:r>
      <w:r w:rsidR="000125E7">
        <w:rPr>
          <w:bCs/>
        </w:rPr>
        <w:t xml:space="preserve"> </w:t>
      </w:r>
      <w:r>
        <w:rPr>
          <w:bCs/>
        </w:rPr>
        <w:t>Agend</w:t>
      </w:r>
      <w:r w:rsidR="000125E7">
        <w:rPr>
          <w:bCs/>
        </w:rPr>
        <w:t>y</w:t>
      </w:r>
      <w:r>
        <w:rPr>
          <w:bCs/>
        </w:rPr>
        <w:t xml:space="preserve"> 2030 pro udržitelný rozvoj, a to i v oblasti zdravotnictví. </w:t>
      </w:r>
      <w:r w:rsidR="005D4054">
        <w:rPr>
          <w:bCs/>
        </w:rPr>
        <w:t>OECD se ze své podstaty zaměřuje primárně na analýzy z pohledu ekonomiky</w:t>
      </w:r>
      <w:r>
        <w:rPr>
          <w:bCs/>
        </w:rPr>
        <w:t>, svou analytickou expertízu (v případě zdravotnictví) často prolíná s dalšími mezinárodními organizacemi, především pak WHO, ILO, EK, v menší míře také se Světovou bankou a dalšími subjekty.</w:t>
      </w:r>
    </w:p>
    <w:p w14:paraId="55D2A53A" w14:textId="77777777" w:rsidR="00634AEA" w:rsidRDefault="00462487" w:rsidP="00A55022">
      <w:pPr>
        <w:spacing w:before="120" w:after="120" w:line="360" w:lineRule="auto"/>
        <w:rPr>
          <w:b/>
          <w:bCs/>
        </w:rPr>
      </w:pPr>
      <w:r w:rsidRPr="00462487">
        <w:rPr>
          <w:b/>
          <w:bCs/>
        </w:rPr>
        <w:t>Hlavní výstupy OECD</w:t>
      </w:r>
    </w:p>
    <w:p w14:paraId="0D197F6F" w14:textId="533D4EAB" w:rsidR="00462487" w:rsidRDefault="00462487" w:rsidP="00A55022">
      <w:pPr>
        <w:spacing w:before="120" w:after="120" w:line="360" w:lineRule="auto"/>
        <w:rPr>
          <w:bCs/>
        </w:rPr>
      </w:pPr>
      <w:r w:rsidRPr="00462487">
        <w:rPr>
          <w:bCs/>
        </w:rPr>
        <w:t xml:space="preserve">Účastníci byly v krátkosti seznámeni také s nejdůležitějšími výstupy HC. Jedná se především o </w:t>
      </w:r>
      <w:proofErr w:type="spellStart"/>
      <w:r w:rsidRPr="00DB1293">
        <w:rPr>
          <w:b/>
          <w:bCs/>
        </w:rPr>
        <w:t>Health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at</w:t>
      </w:r>
      <w:proofErr w:type="spellEnd"/>
      <w:r w:rsidRPr="00DB1293">
        <w:rPr>
          <w:b/>
          <w:bCs/>
        </w:rPr>
        <w:t xml:space="preserve"> a Glance (či </w:t>
      </w:r>
      <w:proofErr w:type="spellStart"/>
      <w:r w:rsidRPr="00DB1293">
        <w:rPr>
          <w:b/>
          <w:bCs/>
        </w:rPr>
        <w:t>Health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at</w:t>
      </w:r>
      <w:proofErr w:type="spellEnd"/>
      <w:r w:rsidRPr="00DB1293">
        <w:rPr>
          <w:b/>
          <w:bCs/>
        </w:rPr>
        <w:t xml:space="preserve"> a Glance: </w:t>
      </w:r>
      <w:proofErr w:type="spellStart"/>
      <w:r w:rsidRPr="00DB1293">
        <w:rPr>
          <w:b/>
          <w:bCs/>
        </w:rPr>
        <w:t>Europe</w:t>
      </w:r>
      <w:proofErr w:type="spellEnd"/>
      <w:r w:rsidRPr="00DB1293">
        <w:rPr>
          <w:b/>
          <w:bCs/>
        </w:rPr>
        <w:t>)</w:t>
      </w:r>
      <w:r w:rsidRPr="00462487">
        <w:rPr>
          <w:bCs/>
        </w:rPr>
        <w:t xml:space="preserve">. </w:t>
      </w:r>
      <w:r w:rsidR="00CC7CAD">
        <w:rPr>
          <w:bCs/>
        </w:rPr>
        <w:t>H</w:t>
      </w:r>
      <w:r w:rsidRPr="00462487">
        <w:rPr>
          <w:bCs/>
        </w:rPr>
        <w:t xml:space="preserve">lavní publikace OECD v oblasti zdraví vychází 1x ročně </w:t>
      </w:r>
      <w:r w:rsidR="00CC7CAD">
        <w:rPr>
          <w:bCs/>
        </w:rPr>
        <w:t xml:space="preserve">a je </w:t>
      </w:r>
      <w:r w:rsidRPr="00462487">
        <w:rPr>
          <w:bCs/>
        </w:rPr>
        <w:t xml:space="preserve">buď zaměřená regionálně, nebo na všechny ČS OECD </w:t>
      </w:r>
      <w:r>
        <w:rPr>
          <w:bCs/>
        </w:rPr>
        <w:t xml:space="preserve">(a </w:t>
      </w:r>
      <w:r w:rsidRPr="00462487">
        <w:rPr>
          <w:bCs/>
        </w:rPr>
        <w:t>kandidátské země</w:t>
      </w:r>
      <w:r>
        <w:rPr>
          <w:bCs/>
        </w:rPr>
        <w:t>)</w:t>
      </w:r>
      <w:r w:rsidRPr="00462487">
        <w:rPr>
          <w:bCs/>
        </w:rPr>
        <w:t>. Porovnává klíčové ukazatele zdravotního stavu obyvatelstva a zdravotního systému</w:t>
      </w:r>
      <w:r>
        <w:rPr>
          <w:bCs/>
        </w:rPr>
        <w:t xml:space="preserve">. </w:t>
      </w:r>
      <w:proofErr w:type="spellStart"/>
      <w:r w:rsidR="00B8666F">
        <w:rPr>
          <w:bCs/>
        </w:rPr>
        <w:t>He</w:t>
      </w:r>
      <w:bookmarkStart w:id="0" w:name="_GoBack"/>
      <w:bookmarkEnd w:id="0"/>
      <w:r w:rsidR="00B8666F">
        <w:rPr>
          <w:bCs/>
        </w:rPr>
        <w:t>alth</w:t>
      </w:r>
      <w:proofErr w:type="spellEnd"/>
      <w:r w:rsidR="00B8666F">
        <w:rPr>
          <w:bCs/>
        </w:rPr>
        <w:t xml:space="preserve"> </w:t>
      </w:r>
      <w:proofErr w:type="spellStart"/>
      <w:r w:rsidR="00B8666F">
        <w:rPr>
          <w:bCs/>
        </w:rPr>
        <w:t>at</w:t>
      </w:r>
      <w:proofErr w:type="spellEnd"/>
      <w:r w:rsidR="00B8666F">
        <w:rPr>
          <w:bCs/>
        </w:rPr>
        <w:t xml:space="preserve"> a Glance byla MZ zaslána k připomínkám a vyjde v listopadu t.r. </w:t>
      </w:r>
      <w:r>
        <w:rPr>
          <w:bCs/>
        </w:rPr>
        <w:t xml:space="preserve">Hlavním výstupem je </w:t>
      </w:r>
      <w:r w:rsidRPr="00DB1293">
        <w:rPr>
          <w:b/>
          <w:bCs/>
        </w:rPr>
        <w:t xml:space="preserve">OECD </w:t>
      </w:r>
      <w:proofErr w:type="spellStart"/>
      <w:r w:rsidRPr="00DB1293">
        <w:rPr>
          <w:b/>
          <w:bCs/>
        </w:rPr>
        <w:t>Health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Statistics</w:t>
      </w:r>
      <w:proofErr w:type="spellEnd"/>
      <w:r w:rsidR="008F282D">
        <w:rPr>
          <w:rStyle w:val="Znakapoznpodarou"/>
          <w:bCs/>
        </w:rPr>
        <w:footnoteReference w:id="16"/>
      </w:r>
      <w:r>
        <w:rPr>
          <w:bCs/>
        </w:rPr>
        <w:t>, tedy online databáze OECD, která je pravidelně aktualizována</w:t>
      </w:r>
      <w:r w:rsidR="008F282D">
        <w:rPr>
          <w:bCs/>
        </w:rPr>
        <w:t>.</w:t>
      </w:r>
    </w:p>
    <w:p w14:paraId="263A853D" w14:textId="77777777" w:rsidR="008F282D" w:rsidRPr="000125E7" w:rsidRDefault="008F282D" w:rsidP="00A55022">
      <w:pPr>
        <w:spacing w:before="120" w:after="120" w:line="360" w:lineRule="auto"/>
        <w:rPr>
          <w:bCs/>
        </w:rPr>
      </w:pPr>
      <w:r w:rsidRPr="000125E7">
        <w:rPr>
          <w:bCs/>
        </w:rPr>
        <w:t xml:space="preserve">Ve spolupráci s EU dochází také k porovnávání zdravotních systémů všech ČS EU v cyklu nazvaném </w:t>
      </w:r>
      <w:proofErr w:type="spellStart"/>
      <w:r w:rsidRPr="00DB1293">
        <w:rPr>
          <w:b/>
          <w:bCs/>
        </w:rPr>
        <w:t>State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of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Health</w:t>
      </w:r>
      <w:proofErr w:type="spellEnd"/>
      <w:r w:rsidRPr="00DB1293">
        <w:rPr>
          <w:b/>
          <w:bCs/>
        </w:rPr>
        <w:t xml:space="preserve"> in </w:t>
      </w:r>
      <w:proofErr w:type="spellStart"/>
      <w:r w:rsidRPr="00DB1293">
        <w:rPr>
          <w:b/>
          <w:bCs/>
        </w:rPr>
        <w:t>the</w:t>
      </w:r>
      <w:proofErr w:type="spellEnd"/>
      <w:r w:rsidRPr="00DB1293">
        <w:rPr>
          <w:b/>
          <w:bCs/>
        </w:rPr>
        <w:t xml:space="preserve"> EU</w:t>
      </w:r>
      <w:r w:rsidRPr="000125E7">
        <w:rPr>
          <w:bCs/>
        </w:rPr>
        <w:t>. OECD a EK (</w:t>
      </w:r>
      <w:proofErr w:type="spellStart"/>
      <w:r w:rsidRPr="000125E7">
        <w:rPr>
          <w:bCs/>
        </w:rPr>
        <w:t>European</w:t>
      </w:r>
      <w:proofErr w:type="spellEnd"/>
      <w:r w:rsidRPr="000125E7">
        <w:rPr>
          <w:bCs/>
        </w:rPr>
        <w:t xml:space="preserve"> </w:t>
      </w:r>
      <w:proofErr w:type="spellStart"/>
      <w:r w:rsidRPr="000125E7">
        <w:rPr>
          <w:bCs/>
        </w:rPr>
        <w:t>Observatory</w:t>
      </w:r>
      <w:proofErr w:type="spellEnd"/>
      <w:r w:rsidRPr="000125E7">
        <w:rPr>
          <w:bCs/>
        </w:rPr>
        <w:t xml:space="preserve"> on </w:t>
      </w:r>
      <w:proofErr w:type="spellStart"/>
      <w:r w:rsidRPr="000125E7">
        <w:rPr>
          <w:bCs/>
        </w:rPr>
        <w:t>Health</w:t>
      </w:r>
      <w:proofErr w:type="spellEnd"/>
      <w:r w:rsidRPr="000125E7">
        <w:rPr>
          <w:bCs/>
        </w:rPr>
        <w:t xml:space="preserve"> Systems and </w:t>
      </w:r>
      <w:proofErr w:type="spellStart"/>
      <w:r w:rsidRPr="000125E7">
        <w:rPr>
          <w:bCs/>
        </w:rPr>
        <w:t>Policies</w:t>
      </w:r>
      <w:proofErr w:type="spellEnd"/>
      <w:r w:rsidRPr="000125E7">
        <w:rPr>
          <w:bCs/>
        </w:rPr>
        <w:t xml:space="preserve">) také připravují stručné </w:t>
      </w:r>
      <w:r w:rsidRPr="00DB1293">
        <w:rPr>
          <w:b/>
          <w:bCs/>
        </w:rPr>
        <w:t>zdravotnické profily každé ČS</w:t>
      </w:r>
      <w:r w:rsidRPr="000125E7">
        <w:rPr>
          <w:bCs/>
        </w:rPr>
        <w:t xml:space="preserve"> (</w:t>
      </w:r>
      <w:r w:rsidR="000125E7">
        <w:rPr>
          <w:bCs/>
        </w:rPr>
        <w:t>C</w:t>
      </w:r>
      <w:r w:rsidRPr="000125E7">
        <w:rPr>
          <w:bCs/>
        </w:rPr>
        <w:t xml:space="preserve">ountry </w:t>
      </w:r>
      <w:proofErr w:type="spellStart"/>
      <w:r w:rsidRPr="000125E7">
        <w:rPr>
          <w:bCs/>
        </w:rPr>
        <w:t>Health</w:t>
      </w:r>
      <w:proofErr w:type="spellEnd"/>
      <w:r w:rsidRPr="000125E7">
        <w:rPr>
          <w:bCs/>
        </w:rPr>
        <w:t xml:space="preserve"> Profile).</w:t>
      </w:r>
      <w:r w:rsidRPr="000125E7">
        <w:t xml:space="preserve"> </w:t>
      </w:r>
      <w:r w:rsidRPr="000125E7">
        <w:rPr>
          <w:bCs/>
        </w:rPr>
        <w:t xml:space="preserve">První </w:t>
      </w:r>
      <w:r w:rsidR="000125E7">
        <w:rPr>
          <w:bCs/>
        </w:rPr>
        <w:t>C</w:t>
      </w:r>
      <w:r w:rsidRPr="000125E7">
        <w:rPr>
          <w:bCs/>
        </w:rPr>
        <w:t xml:space="preserve">ountry </w:t>
      </w:r>
      <w:proofErr w:type="spellStart"/>
      <w:r w:rsidR="000125E7">
        <w:rPr>
          <w:bCs/>
        </w:rPr>
        <w:t>H</w:t>
      </w:r>
      <w:r w:rsidRPr="000125E7">
        <w:rPr>
          <w:bCs/>
        </w:rPr>
        <w:t>ealth</w:t>
      </w:r>
      <w:proofErr w:type="spellEnd"/>
      <w:r w:rsidRPr="000125E7">
        <w:rPr>
          <w:bCs/>
        </w:rPr>
        <w:t xml:space="preserve"> </w:t>
      </w:r>
      <w:r w:rsidR="000125E7">
        <w:rPr>
          <w:bCs/>
        </w:rPr>
        <w:t>P</w:t>
      </w:r>
      <w:r w:rsidRPr="000125E7">
        <w:rPr>
          <w:bCs/>
        </w:rPr>
        <w:t xml:space="preserve">rofile vznikl v roce 2017, druhý vyjde v listopadu t.r. </w:t>
      </w:r>
    </w:p>
    <w:p w14:paraId="2E164CAE" w14:textId="77777777" w:rsidR="008F282D" w:rsidRPr="000125E7" w:rsidRDefault="008F282D" w:rsidP="00A55022">
      <w:pPr>
        <w:spacing w:before="120" w:after="120" w:line="360" w:lineRule="auto"/>
        <w:rPr>
          <w:bCs/>
        </w:rPr>
      </w:pPr>
      <w:r w:rsidRPr="000125E7">
        <w:rPr>
          <w:bCs/>
        </w:rPr>
        <w:t xml:space="preserve">ČR uvedené publikace aktivně připomínkuje (zejména Country </w:t>
      </w:r>
      <w:proofErr w:type="spellStart"/>
      <w:r w:rsidRPr="000125E7">
        <w:rPr>
          <w:bCs/>
        </w:rPr>
        <w:t>Health</w:t>
      </w:r>
      <w:proofErr w:type="spellEnd"/>
      <w:r w:rsidRPr="000125E7">
        <w:rPr>
          <w:bCs/>
        </w:rPr>
        <w:t xml:space="preserve"> Profile) a ve spolupráci s ÚZIS a ČSÚ dodává OECD a EK potřebné údaje.</w:t>
      </w:r>
    </w:p>
    <w:p w14:paraId="288868AF" w14:textId="6F3EC52F" w:rsidR="008F282D" w:rsidRPr="00462487" w:rsidRDefault="008F282D" w:rsidP="00A55022">
      <w:pPr>
        <w:spacing w:before="120" w:after="120" w:line="360" w:lineRule="auto"/>
        <w:rPr>
          <w:bCs/>
        </w:rPr>
      </w:pPr>
      <w:r>
        <w:rPr>
          <w:bCs/>
        </w:rPr>
        <w:lastRenderedPageBreak/>
        <w:t>OECD dále připravuje hlubší analýzy (respektive přezkumy) na žádost konkrétní země, jedná</w:t>
      </w:r>
      <w:r w:rsidR="000125E7">
        <w:rPr>
          <w:bCs/>
        </w:rPr>
        <w:t xml:space="preserve"> se</w:t>
      </w:r>
      <w:r>
        <w:rPr>
          <w:bCs/>
        </w:rPr>
        <w:t xml:space="preserve"> o produkty </w:t>
      </w:r>
      <w:r w:rsidRPr="00DB1293">
        <w:rPr>
          <w:b/>
          <w:bCs/>
        </w:rPr>
        <w:t>„</w:t>
      </w:r>
      <w:proofErr w:type="spellStart"/>
      <w:r w:rsidRPr="00DB1293">
        <w:rPr>
          <w:b/>
          <w:bCs/>
        </w:rPr>
        <w:t>Reviews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of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Health</w:t>
      </w:r>
      <w:proofErr w:type="spellEnd"/>
      <w:r w:rsidRPr="00DB1293">
        <w:rPr>
          <w:b/>
          <w:bCs/>
        </w:rPr>
        <w:t xml:space="preserve"> Systems</w:t>
      </w:r>
      <w:r w:rsidRPr="00DB1293">
        <w:rPr>
          <w:rStyle w:val="Znakapoznpodarou"/>
          <w:b/>
          <w:bCs/>
        </w:rPr>
        <w:footnoteReference w:id="17"/>
      </w:r>
      <w:r w:rsidRPr="00DB1293">
        <w:rPr>
          <w:b/>
          <w:bCs/>
        </w:rPr>
        <w:t>“</w:t>
      </w:r>
      <w:r w:rsidRPr="008F282D">
        <w:rPr>
          <w:bCs/>
        </w:rPr>
        <w:t xml:space="preserve"> nebo </w:t>
      </w:r>
      <w:r w:rsidRPr="00DB1293">
        <w:rPr>
          <w:b/>
          <w:bCs/>
        </w:rPr>
        <w:t>„</w:t>
      </w:r>
      <w:proofErr w:type="spellStart"/>
      <w:r w:rsidRPr="00DB1293">
        <w:rPr>
          <w:b/>
          <w:bCs/>
        </w:rPr>
        <w:t>Review</w:t>
      </w:r>
      <w:proofErr w:type="spellEnd"/>
      <w:r w:rsidRPr="00DB1293">
        <w:rPr>
          <w:b/>
          <w:bCs/>
        </w:rPr>
        <w:t xml:space="preserve"> </w:t>
      </w:r>
      <w:proofErr w:type="spellStart"/>
      <w:r w:rsidRPr="00DB1293">
        <w:rPr>
          <w:b/>
          <w:bCs/>
        </w:rPr>
        <w:t>of</w:t>
      </w:r>
      <w:proofErr w:type="spellEnd"/>
      <w:r w:rsidRPr="00DB1293">
        <w:rPr>
          <w:b/>
          <w:bCs/>
        </w:rPr>
        <w:t xml:space="preserve"> public </w:t>
      </w:r>
      <w:proofErr w:type="spellStart"/>
      <w:r w:rsidRPr="00DB1293">
        <w:rPr>
          <w:b/>
          <w:bCs/>
        </w:rPr>
        <w:t>Health</w:t>
      </w:r>
      <w:proofErr w:type="spellEnd"/>
      <w:r w:rsidRPr="00DB1293">
        <w:rPr>
          <w:rStyle w:val="Znakapoznpodarou"/>
          <w:b/>
          <w:bCs/>
        </w:rPr>
        <w:footnoteReference w:id="18"/>
      </w:r>
      <w:r w:rsidRPr="00DB1293">
        <w:rPr>
          <w:b/>
          <w:bCs/>
        </w:rPr>
        <w:t>“</w:t>
      </w:r>
      <w:r>
        <w:rPr>
          <w:bCs/>
        </w:rPr>
        <w:t xml:space="preserve">. Nejběžnější variantou </w:t>
      </w:r>
      <w:r w:rsidR="000125E7">
        <w:rPr>
          <w:bCs/>
        </w:rPr>
        <w:t xml:space="preserve">výstupu OECD </w:t>
      </w:r>
      <w:r>
        <w:rPr>
          <w:bCs/>
        </w:rPr>
        <w:t>jsou zvláštní analýzy, které vznikly jako celkový výstup z konkrétního projektu (např. analýza zaměřen</w:t>
      </w:r>
      <w:r w:rsidR="00CC7CAD">
        <w:rPr>
          <w:bCs/>
        </w:rPr>
        <w:t>á</w:t>
      </w:r>
      <w:r>
        <w:rPr>
          <w:bCs/>
        </w:rPr>
        <w:t xml:space="preserve"> na primární péči, duševní zdraví, AM</w:t>
      </w:r>
      <w:r w:rsidR="00800290">
        <w:rPr>
          <w:bCs/>
        </w:rPr>
        <w:t>R</w:t>
      </w:r>
      <w:r>
        <w:rPr>
          <w:bCs/>
        </w:rPr>
        <w:t>, výdaje na zdravotnictví apod.)</w:t>
      </w:r>
      <w:r w:rsidR="000125E7">
        <w:rPr>
          <w:bCs/>
        </w:rPr>
        <w:t>.</w:t>
      </w:r>
    </w:p>
    <w:p w14:paraId="1424C144" w14:textId="77777777" w:rsidR="00490ABE" w:rsidRDefault="00490ABE" w:rsidP="00490ABE">
      <w:pPr>
        <w:spacing w:line="240" w:lineRule="auto"/>
        <w:jc w:val="left"/>
        <w:rPr>
          <w:b/>
          <w:bCs/>
        </w:rPr>
      </w:pPr>
      <w:r w:rsidRPr="00D9516D">
        <w:rPr>
          <w:b/>
          <w:bCs/>
        </w:rPr>
        <w:t xml:space="preserve">Výhled jednání v 2. polovině roku 2019 </w:t>
      </w:r>
    </w:p>
    <w:p w14:paraId="61171050" w14:textId="77777777" w:rsidR="00052027" w:rsidRPr="00D9516D" w:rsidRDefault="000125E7" w:rsidP="009D7856">
      <w:pPr>
        <w:spacing w:before="120" w:after="120" w:line="360" w:lineRule="auto"/>
        <w:rPr>
          <w:b/>
          <w:bCs/>
        </w:rPr>
      </w:pPr>
      <w:r>
        <w:rPr>
          <w:bCs/>
        </w:rPr>
        <w:t xml:space="preserve">Zástupcům PS OECD </w:t>
      </w:r>
      <w:r w:rsidR="00052027" w:rsidRPr="002A3A0E">
        <w:rPr>
          <w:bCs/>
        </w:rPr>
        <w:t>byl představen výhled aktivit HC do konce roku spolu s návrhem zastoupení</w:t>
      </w:r>
      <w:r w:rsidR="00052027">
        <w:rPr>
          <w:rStyle w:val="Znakapoznpodarou"/>
          <w:b/>
          <w:bCs/>
        </w:rPr>
        <w:footnoteReference w:id="19"/>
      </w:r>
    </w:p>
    <w:p w14:paraId="4CD9B942" w14:textId="77777777" w:rsidR="00490ABE" w:rsidRPr="00D9516D" w:rsidRDefault="000125E7" w:rsidP="009D7856">
      <w:pPr>
        <w:numPr>
          <w:ilvl w:val="0"/>
          <w:numId w:val="5"/>
        </w:numPr>
        <w:spacing w:before="120" w:after="120" w:line="360" w:lineRule="auto"/>
        <w:rPr>
          <w:bCs/>
        </w:rPr>
      </w:pPr>
      <w:r w:rsidRPr="00D9516D">
        <w:rPr>
          <w:bCs/>
        </w:rPr>
        <w:t xml:space="preserve">Workshop – </w:t>
      </w:r>
      <w:proofErr w:type="spellStart"/>
      <w:r w:rsidRPr="00D9516D">
        <w:rPr>
          <w:bCs/>
        </w:rPr>
        <w:t>First</w:t>
      </w:r>
      <w:proofErr w:type="spellEnd"/>
      <w:r w:rsidR="00490ABE" w:rsidRPr="00D9516D">
        <w:rPr>
          <w:bCs/>
        </w:rPr>
        <w:t xml:space="preserve"> </w:t>
      </w:r>
      <w:proofErr w:type="spellStart"/>
      <w:r w:rsidR="00490ABE" w:rsidRPr="00D9516D">
        <w:rPr>
          <w:bCs/>
        </w:rPr>
        <w:t>Childhood</w:t>
      </w:r>
      <w:proofErr w:type="spellEnd"/>
      <w:r w:rsidR="00490ABE" w:rsidRPr="00D9516D">
        <w:rPr>
          <w:bCs/>
        </w:rPr>
        <w:t xml:space="preserve"> Obesity </w:t>
      </w:r>
      <w:proofErr w:type="spellStart"/>
      <w:r w:rsidR="00490ABE" w:rsidRPr="00D9516D">
        <w:rPr>
          <w:bCs/>
        </w:rPr>
        <w:t>Stakeholder</w:t>
      </w:r>
      <w:proofErr w:type="spellEnd"/>
      <w:r w:rsidR="00490ABE" w:rsidRPr="00D9516D">
        <w:rPr>
          <w:bCs/>
        </w:rPr>
        <w:t xml:space="preserve"> </w:t>
      </w:r>
      <w:proofErr w:type="spellStart"/>
      <w:r w:rsidR="00490ABE" w:rsidRPr="00D9516D">
        <w:rPr>
          <w:bCs/>
        </w:rPr>
        <w:t>Conference</w:t>
      </w:r>
      <w:proofErr w:type="spellEnd"/>
      <w:r w:rsidR="00490ABE" w:rsidRPr="00D9516D">
        <w:rPr>
          <w:bCs/>
        </w:rPr>
        <w:t xml:space="preserve"> and Dialog: 16. 9.</w:t>
      </w:r>
      <w:r w:rsidR="00BA771D">
        <w:rPr>
          <w:bCs/>
        </w:rPr>
        <w:t>(bez účasti</w:t>
      </w:r>
      <w:r>
        <w:rPr>
          <w:bCs/>
        </w:rPr>
        <w:t>)</w:t>
      </w:r>
    </w:p>
    <w:p w14:paraId="57A4FDE7" w14:textId="085B7BA8" w:rsidR="00490ABE" w:rsidRPr="00D9516D" w:rsidRDefault="00490ABE" w:rsidP="009D7856">
      <w:pPr>
        <w:numPr>
          <w:ilvl w:val="0"/>
          <w:numId w:val="5"/>
        </w:numPr>
        <w:spacing w:before="120" w:after="120" w:line="360" w:lineRule="auto"/>
        <w:rPr>
          <w:bCs/>
          <w:i/>
        </w:rPr>
      </w:pPr>
      <w:r w:rsidRPr="00D9516D">
        <w:rPr>
          <w:bCs/>
        </w:rPr>
        <w:t xml:space="preserve">Expert Group on </w:t>
      </w:r>
      <w:proofErr w:type="spellStart"/>
      <w:r w:rsidRPr="00D9516D">
        <w:rPr>
          <w:bCs/>
        </w:rPr>
        <w:t>the</w:t>
      </w:r>
      <w:proofErr w:type="spellEnd"/>
      <w:r w:rsidRPr="00D9516D">
        <w:rPr>
          <w:bCs/>
        </w:rPr>
        <w:t xml:space="preserve"> </w:t>
      </w:r>
      <w:proofErr w:type="spellStart"/>
      <w:r w:rsidRPr="00D9516D">
        <w:rPr>
          <w:bCs/>
        </w:rPr>
        <w:t>Economics</w:t>
      </w:r>
      <w:proofErr w:type="spellEnd"/>
      <w:r w:rsidRPr="00D9516D">
        <w:rPr>
          <w:bCs/>
        </w:rPr>
        <w:t xml:space="preserve"> </w:t>
      </w:r>
      <w:proofErr w:type="spellStart"/>
      <w:r w:rsidRPr="00D9516D">
        <w:rPr>
          <w:bCs/>
        </w:rPr>
        <w:t>of</w:t>
      </w:r>
      <w:proofErr w:type="spellEnd"/>
      <w:r w:rsidRPr="00D9516D">
        <w:rPr>
          <w:bCs/>
        </w:rPr>
        <w:t xml:space="preserve"> Public Health (EGEPH): 7. – 8. 10. (</w:t>
      </w:r>
      <w:r w:rsidR="00BA771D">
        <w:rPr>
          <w:bCs/>
        </w:rPr>
        <w:t xml:space="preserve">OVZ; </w:t>
      </w:r>
      <w:r w:rsidR="00800290">
        <w:rPr>
          <w:bCs/>
        </w:rPr>
        <w:t>J.</w:t>
      </w:r>
      <w:r w:rsidR="00BA771D" w:rsidRPr="00BA771D">
        <w:rPr>
          <w:bCs/>
        </w:rPr>
        <w:t xml:space="preserve"> Marounek</w:t>
      </w:r>
      <w:r w:rsidR="00BA771D">
        <w:rPr>
          <w:bCs/>
        </w:rPr>
        <w:t xml:space="preserve">; expert OPL, </w:t>
      </w:r>
      <w:r w:rsidR="00BA771D" w:rsidRPr="00BA771D">
        <w:rPr>
          <w:bCs/>
        </w:rPr>
        <w:t>M</w:t>
      </w:r>
      <w:r w:rsidR="00800290">
        <w:rPr>
          <w:bCs/>
        </w:rPr>
        <w:t xml:space="preserve">. </w:t>
      </w:r>
      <w:r w:rsidR="00BA771D" w:rsidRPr="00BA771D">
        <w:rPr>
          <w:bCs/>
        </w:rPr>
        <w:t>Barták</w:t>
      </w:r>
      <w:r w:rsidR="00BA771D">
        <w:rPr>
          <w:bCs/>
        </w:rPr>
        <w:t>)</w:t>
      </w:r>
    </w:p>
    <w:p w14:paraId="6FAD7A74" w14:textId="779A9F0D" w:rsidR="00490ABE" w:rsidRPr="00D9516D" w:rsidRDefault="00490ABE" w:rsidP="009D7856">
      <w:pPr>
        <w:numPr>
          <w:ilvl w:val="0"/>
          <w:numId w:val="5"/>
        </w:numPr>
        <w:spacing w:before="120" w:after="120" w:line="360" w:lineRule="auto"/>
        <w:rPr>
          <w:bCs/>
        </w:rPr>
      </w:pPr>
      <w:r w:rsidRPr="00D9516D">
        <w:rPr>
          <w:bCs/>
        </w:rPr>
        <w:t xml:space="preserve">Workshop - Science </w:t>
      </w:r>
      <w:proofErr w:type="gramStart"/>
      <w:r w:rsidRPr="00D9516D">
        <w:rPr>
          <w:bCs/>
        </w:rPr>
        <w:t>and  Technology</w:t>
      </w:r>
      <w:proofErr w:type="gramEnd"/>
      <w:r w:rsidRPr="00D9516D">
        <w:rPr>
          <w:bCs/>
        </w:rPr>
        <w:t xml:space="preserve"> in </w:t>
      </w:r>
      <w:proofErr w:type="spellStart"/>
      <w:r w:rsidRPr="00D9516D">
        <w:rPr>
          <w:bCs/>
        </w:rPr>
        <w:t>childhood</w:t>
      </w:r>
      <w:proofErr w:type="spellEnd"/>
      <w:r w:rsidRPr="00D9516D">
        <w:rPr>
          <w:bCs/>
        </w:rPr>
        <w:t xml:space="preserve"> Obesity </w:t>
      </w:r>
      <w:proofErr w:type="spellStart"/>
      <w:r w:rsidRPr="00D9516D">
        <w:rPr>
          <w:bCs/>
        </w:rPr>
        <w:t>Policy</w:t>
      </w:r>
      <w:proofErr w:type="spellEnd"/>
      <w:r w:rsidRPr="00D9516D">
        <w:rPr>
          <w:bCs/>
        </w:rPr>
        <w:t xml:space="preserve"> (STOP </w:t>
      </w:r>
      <w:proofErr w:type="spellStart"/>
      <w:r w:rsidRPr="00D9516D">
        <w:rPr>
          <w:bCs/>
        </w:rPr>
        <w:t>project</w:t>
      </w:r>
      <w:proofErr w:type="spellEnd"/>
      <w:r w:rsidRPr="00D9516D">
        <w:rPr>
          <w:bCs/>
        </w:rPr>
        <w:t>): 9. 10. (</w:t>
      </w:r>
      <w:r w:rsidR="00BA771D">
        <w:rPr>
          <w:bCs/>
        </w:rPr>
        <w:t xml:space="preserve">OVZ, </w:t>
      </w:r>
      <w:r w:rsidR="00BA771D" w:rsidRPr="00BA771D">
        <w:rPr>
          <w:bCs/>
        </w:rPr>
        <w:t>J</w:t>
      </w:r>
      <w:r w:rsidR="00800290">
        <w:rPr>
          <w:bCs/>
        </w:rPr>
        <w:t xml:space="preserve">. </w:t>
      </w:r>
      <w:r w:rsidR="00BA771D" w:rsidRPr="00BA771D">
        <w:rPr>
          <w:bCs/>
        </w:rPr>
        <w:t>Marounek</w:t>
      </w:r>
      <w:r w:rsidR="00BA771D">
        <w:rPr>
          <w:bCs/>
        </w:rPr>
        <w:t>)</w:t>
      </w:r>
    </w:p>
    <w:p w14:paraId="6D3FB7CA" w14:textId="6B775EB7" w:rsidR="00490ABE" w:rsidRPr="00D9516D" w:rsidRDefault="00490ABE" w:rsidP="009D7856">
      <w:pPr>
        <w:numPr>
          <w:ilvl w:val="0"/>
          <w:numId w:val="5"/>
        </w:numPr>
        <w:spacing w:before="120" w:after="120" w:line="360" w:lineRule="auto"/>
        <w:rPr>
          <w:bCs/>
        </w:rPr>
      </w:pPr>
      <w:proofErr w:type="spellStart"/>
      <w:r w:rsidRPr="00D9516D">
        <w:rPr>
          <w:bCs/>
        </w:rPr>
        <w:t>Working</w:t>
      </w:r>
      <w:proofErr w:type="spellEnd"/>
      <w:r w:rsidRPr="00D9516D">
        <w:rPr>
          <w:bCs/>
        </w:rPr>
        <w:t xml:space="preserve"> Party on </w:t>
      </w:r>
      <w:proofErr w:type="spellStart"/>
      <w:r w:rsidRPr="00D9516D">
        <w:rPr>
          <w:bCs/>
        </w:rPr>
        <w:t>Health</w:t>
      </w:r>
      <w:proofErr w:type="spellEnd"/>
      <w:r w:rsidRPr="00D9516D">
        <w:rPr>
          <w:bCs/>
        </w:rPr>
        <w:t xml:space="preserve"> </w:t>
      </w:r>
      <w:proofErr w:type="spellStart"/>
      <w:r w:rsidRPr="00D9516D">
        <w:rPr>
          <w:bCs/>
        </w:rPr>
        <w:t>Statistics</w:t>
      </w:r>
      <w:proofErr w:type="spellEnd"/>
      <w:r w:rsidRPr="00D9516D">
        <w:rPr>
          <w:bCs/>
        </w:rPr>
        <w:t>: 9. – 10. 10. (</w:t>
      </w:r>
      <w:r w:rsidR="00BA771D">
        <w:rPr>
          <w:bCs/>
        </w:rPr>
        <w:t xml:space="preserve">ÚZIS, </w:t>
      </w:r>
      <w:r w:rsidR="00BA771D" w:rsidRPr="00BA771D">
        <w:rPr>
          <w:bCs/>
        </w:rPr>
        <w:t>Š</w:t>
      </w:r>
      <w:r w:rsidR="00800290">
        <w:rPr>
          <w:bCs/>
        </w:rPr>
        <w:t xml:space="preserve">. </w:t>
      </w:r>
      <w:r w:rsidR="00BA771D" w:rsidRPr="00BA771D">
        <w:rPr>
          <w:bCs/>
        </w:rPr>
        <w:t>Daňková</w:t>
      </w:r>
      <w:r w:rsidRPr="00D9516D">
        <w:rPr>
          <w:bCs/>
        </w:rPr>
        <w:t>)</w:t>
      </w:r>
    </w:p>
    <w:p w14:paraId="407A9FC4" w14:textId="4669FF63" w:rsidR="00490ABE" w:rsidRPr="00D9516D" w:rsidRDefault="00490ABE" w:rsidP="009D7856">
      <w:pPr>
        <w:numPr>
          <w:ilvl w:val="0"/>
          <w:numId w:val="5"/>
        </w:numPr>
        <w:spacing w:before="120" w:after="120" w:line="360" w:lineRule="auto"/>
        <w:rPr>
          <w:bCs/>
        </w:rPr>
      </w:pPr>
      <w:r w:rsidRPr="00D9516D">
        <w:rPr>
          <w:bCs/>
        </w:rPr>
        <w:t xml:space="preserve">Workshop on </w:t>
      </w:r>
      <w:proofErr w:type="spellStart"/>
      <w:r w:rsidRPr="00D9516D">
        <w:rPr>
          <w:bCs/>
        </w:rPr>
        <w:t>Improving</w:t>
      </w:r>
      <w:proofErr w:type="spellEnd"/>
      <w:r w:rsidRPr="00D9516D">
        <w:rPr>
          <w:bCs/>
        </w:rPr>
        <w:t xml:space="preserve"> </w:t>
      </w:r>
      <w:proofErr w:type="spellStart"/>
      <w:r w:rsidRPr="00D9516D">
        <w:rPr>
          <w:bCs/>
        </w:rPr>
        <w:t>Information</w:t>
      </w:r>
      <w:proofErr w:type="spellEnd"/>
      <w:r w:rsidRPr="00D9516D">
        <w:rPr>
          <w:bCs/>
        </w:rPr>
        <w:t xml:space="preserve"> on </w:t>
      </w:r>
      <w:proofErr w:type="spellStart"/>
      <w:r w:rsidRPr="00D9516D">
        <w:rPr>
          <w:bCs/>
        </w:rPr>
        <w:t>Pharmaceutical</w:t>
      </w:r>
      <w:proofErr w:type="spellEnd"/>
      <w:r w:rsidRPr="00D9516D">
        <w:rPr>
          <w:bCs/>
        </w:rPr>
        <w:t xml:space="preserve"> and </w:t>
      </w:r>
      <w:proofErr w:type="spellStart"/>
      <w:r w:rsidRPr="00D9516D">
        <w:rPr>
          <w:bCs/>
        </w:rPr>
        <w:t>Medical</w:t>
      </w:r>
      <w:proofErr w:type="spellEnd"/>
      <w:r w:rsidRPr="00D9516D">
        <w:rPr>
          <w:bCs/>
        </w:rPr>
        <w:t xml:space="preserve"> </w:t>
      </w:r>
      <w:proofErr w:type="spellStart"/>
      <w:r w:rsidRPr="00D9516D">
        <w:rPr>
          <w:bCs/>
        </w:rPr>
        <w:t>Device</w:t>
      </w:r>
      <w:proofErr w:type="spellEnd"/>
      <w:r w:rsidRPr="00D9516D">
        <w:rPr>
          <w:bCs/>
        </w:rPr>
        <w:t xml:space="preserve"> </w:t>
      </w:r>
      <w:proofErr w:type="spellStart"/>
      <w:r w:rsidRPr="00D9516D">
        <w:rPr>
          <w:bCs/>
        </w:rPr>
        <w:t>Expenditures</w:t>
      </w:r>
      <w:proofErr w:type="spellEnd"/>
      <w:r w:rsidRPr="00D9516D">
        <w:rPr>
          <w:bCs/>
        </w:rPr>
        <w:t xml:space="preserve">, 11. 10 </w:t>
      </w:r>
      <w:r w:rsidR="00BA771D" w:rsidRPr="00D9516D">
        <w:rPr>
          <w:bCs/>
        </w:rPr>
        <w:t>(</w:t>
      </w:r>
      <w:r w:rsidR="00BA771D">
        <w:rPr>
          <w:bCs/>
        </w:rPr>
        <w:t xml:space="preserve">ÚZIS, </w:t>
      </w:r>
      <w:r w:rsidR="00BA771D" w:rsidRPr="00BA771D">
        <w:rPr>
          <w:bCs/>
        </w:rPr>
        <w:t>Š</w:t>
      </w:r>
      <w:r w:rsidR="00800290">
        <w:rPr>
          <w:bCs/>
        </w:rPr>
        <w:t xml:space="preserve">. </w:t>
      </w:r>
      <w:r w:rsidR="00BA771D" w:rsidRPr="00BA771D">
        <w:rPr>
          <w:bCs/>
        </w:rPr>
        <w:t>Daňková</w:t>
      </w:r>
      <w:r w:rsidR="00BA771D">
        <w:rPr>
          <w:bCs/>
        </w:rPr>
        <w:t>;</w:t>
      </w:r>
      <w:r w:rsidR="000125E7">
        <w:rPr>
          <w:bCs/>
        </w:rPr>
        <w:t xml:space="preserve"> expert CAU, </w:t>
      </w:r>
      <w:r w:rsidR="000125E7" w:rsidRPr="00BA771D">
        <w:t>L</w:t>
      </w:r>
      <w:r w:rsidR="00800290">
        <w:t xml:space="preserve">. </w:t>
      </w:r>
      <w:r w:rsidR="000125E7" w:rsidRPr="00BA771D">
        <w:t>Zahálk</w:t>
      </w:r>
      <w:r w:rsidR="00800290">
        <w:t>a</w:t>
      </w:r>
      <w:r w:rsidR="00BA771D" w:rsidRPr="00D9516D">
        <w:rPr>
          <w:bCs/>
        </w:rPr>
        <w:t>)</w:t>
      </w:r>
    </w:p>
    <w:p w14:paraId="3B5004E2" w14:textId="710321ED" w:rsidR="00490ABE" w:rsidRPr="00D9516D" w:rsidRDefault="00490ABE" w:rsidP="009D7856">
      <w:pPr>
        <w:numPr>
          <w:ilvl w:val="0"/>
          <w:numId w:val="5"/>
        </w:numPr>
        <w:spacing w:before="120" w:after="120" w:line="360" w:lineRule="auto"/>
        <w:rPr>
          <w:bCs/>
        </w:rPr>
      </w:pPr>
      <w:r w:rsidRPr="00D9516D">
        <w:rPr>
          <w:bCs/>
        </w:rPr>
        <w:t>WP-</w:t>
      </w:r>
      <w:proofErr w:type="spellStart"/>
      <w:r w:rsidRPr="00D9516D">
        <w:rPr>
          <w:bCs/>
        </w:rPr>
        <w:t>PaRIS</w:t>
      </w:r>
      <w:proofErr w:type="spellEnd"/>
      <w:r w:rsidRPr="00D9516D">
        <w:rPr>
          <w:bCs/>
        </w:rPr>
        <w:t>: 5. 11. (</w:t>
      </w:r>
      <w:r w:rsidR="00BA771D">
        <w:rPr>
          <w:bCs/>
        </w:rPr>
        <w:t xml:space="preserve">expert OZP, </w:t>
      </w:r>
      <w:r w:rsidR="00BA771D" w:rsidRPr="00BA771D">
        <w:rPr>
          <w:bCs/>
        </w:rPr>
        <w:t>B</w:t>
      </w:r>
      <w:r w:rsidR="00800290">
        <w:rPr>
          <w:bCs/>
        </w:rPr>
        <w:t xml:space="preserve">. </w:t>
      </w:r>
      <w:r w:rsidR="00BA771D" w:rsidRPr="00BA771D">
        <w:rPr>
          <w:bCs/>
        </w:rPr>
        <w:t>Seifert</w:t>
      </w:r>
      <w:r w:rsidR="00BA771D">
        <w:rPr>
          <w:bCs/>
        </w:rPr>
        <w:t>)</w:t>
      </w:r>
    </w:p>
    <w:p w14:paraId="07D83469" w14:textId="4EC9811B" w:rsidR="00BA771D" w:rsidRPr="00BA771D" w:rsidRDefault="009D7856" w:rsidP="009D7856">
      <w:pPr>
        <w:numPr>
          <w:ilvl w:val="0"/>
          <w:numId w:val="5"/>
        </w:numPr>
        <w:spacing w:before="120" w:after="120" w:line="360" w:lineRule="auto"/>
        <w:rPr>
          <w:bCs/>
        </w:rPr>
      </w:pPr>
      <w:r w:rsidRPr="00D9516D">
        <w:rPr>
          <w:bCs/>
        </w:rPr>
        <w:t>Workshop – International</w:t>
      </w:r>
      <w:r w:rsidR="00490ABE" w:rsidRPr="00D9516D">
        <w:rPr>
          <w:bCs/>
        </w:rPr>
        <w:t xml:space="preserve"> Expert workshop on </w:t>
      </w:r>
      <w:proofErr w:type="spellStart"/>
      <w:r w:rsidR="00490ABE" w:rsidRPr="00D9516D">
        <w:rPr>
          <w:bCs/>
        </w:rPr>
        <w:t>Recent</w:t>
      </w:r>
      <w:proofErr w:type="spellEnd"/>
      <w:r w:rsidR="00490ABE" w:rsidRPr="00D9516D">
        <w:rPr>
          <w:bCs/>
        </w:rPr>
        <w:t xml:space="preserve"> </w:t>
      </w:r>
      <w:proofErr w:type="spellStart"/>
      <w:r w:rsidR="00490ABE" w:rsidRPr="00D9516D">
        <w:rPr>
          <w:bCs/>
        </w:rPr>
        <w:t>Trends</w:t>
      </w:r>
      <w:proofErr w:type="spellEnd"/>
      <w:r w:rsidR="00490ABE" w:rsidRPr="00D9516D">
        <w:rPr>
          <w:bCs/>
        </w:rPr>
        <w:t xml:space="preserve"> in </w:t>
      </w:r>
      <w:proofErr w:type="spellStart"/>
      <w:r w:rsidR="00490ABE" w:rsidRPr="00D9516D">
        <w:rPr>
          <w:bCs/>
        </w:rPr>
        <w:t>Cardiovascular</w:t>
      </w:r>
      <w:proofErr w:type="spellEnd"/>
      <w:r w:rsidR="00490ABE" w:rsidRPr="00D9516D">
        <w:rPr>
          <w:bCs/>
        </w:rPr>
        <w:t xml:space="preserve"> </w:t>
      </w:r>
      <w:proofErr w:type="spellStart"/>
      <w:r w:rsidR="00490ABE" w:rsidRPr="00D9516D">
        <w:rPr>
          <w:bCs/>
        </w:rPr>
        <w:t>Disease</w:t>
      </w:r>
      <w:proofErr w:type="spellEnd"/>
      <w:r w:rsidR="00490ABE" w:rsidRPr="00D9516D">
        <w:rPr>
          <w:bCs/>
        </w:rPr>
        <w:t xml:space="preserve"> Mortality: 6. 11. (</w:t>
      </w:r>
      <w:r w:rsidR="00BA771D" w:rsidRPr="009D7856">
        <w:rPr>
          <w:bCs/>
        </w:rPr>
        <w:t xml:space="preserve">ÚZIS, </w:t>
      </w:r>
      <w:r w:rsidR="00800290">
        <w:rPr>
          <w:bCs/>
        </w:rPr>
        <w:t>J.</w:t>
      </w:r>
      <w:r w:rsidR="00BA771D" w:rsidRPr="009D7856">
        <w:rPr>
          <w:bCs/>
        </w:rPr>
        <w:t xml:space="preserve"> Jarkovský)</w:t>
      </w:r>
    </w:p>
    <w:p w14:paraId="0C5F5F9D" w14:textId="77777777" w:rsidR="00490ABE" w:rsidRPr="009D7856" w:rsidRDefault="00490ABE" w:rsidP="00900897">
      <w:pPr>
        <w:numPr>
          <w:ilvl w:val="0"/>
          <w:numId w:val="5"/>
        </w:numPr>
        <w:spacing w:before="120" w:after="120" w:line="360" w:lineRule="auto"/>
        <w:rPr>
          <w:bCs/>
        </w:rPr>
      </w:pPr>
      <w:proofErr w:type="spellStart"/>
      <w:r w:rsidRPr="009D7856">
        <w:rPr>
          <w:bCs/>
        </w:rPr>
        <w:t>Working</w:t>
      </w:r>
      <w:proofErr w:type="spellEnd"/>
      <w:r w:rsidRPr="009D7856">
        <w:rPr>
          <w:bCs/>
        </w:rPr>
        <w:t xml:space="preserve"> Party on </w:t>
      </w:r>
      <w:proofErr w:type="spellStart"/>
      <w:r w:rsidRPr="009D7856">
        <w:rPr>
          <w:bCs/>
        </w:rPr>
        <w:t>Health</w:t>
      </w:r>
      <w:proofErr w:type="spellEnd"/>
      <w:r w:rsidRPr="009D7856">
        <w:rPr>
          <w:bCs/>
        </w:rPr>
        <w:t xml:space="preserve"> Care </w:t>
      </w:r>
      <w:proofErr w:type="spellStart"/>
      <w:r w:rsidRPr="009D7856">
        <w:rPr>
          <w:bCs/>
        </w:rPr>
        <w:t>Quality</w:t>
      </w:r>
      <w:proofErr w:type="spellEnd"/>
      <w:r w:rsidRPr="009D7856">
        <w:rPr>
          <w:bCs/>
        </w:rPr>
        <w:t xml:space="preserve"> and </w:t>
      </w:r>
      <w:proofErr w:type="spellStart"/>
      <w:r w:rsidRPr="009D7856">
        <w:rPr>
          <w:bCs/>
        </w:rPr>
        <w:t>Outcomes</w:t>
      </w:r>
      <w:proofErr w:type="spellEnd"/>
      <w:r w:rsidRPr="009D7856">
        <w:rPr>
          <w:bCs/>
        </w:rPr>
        <w:t>: 7. – 8. 11. (ÚZIS, OZP)</w:t>
      </w:r>
    </w:p>
    <w:p w14:paraId="41E3B7BE" w14:textId="52AFDBBC" w:rsidR="00490ABE" w:rsidRPr="00D9516D" w:rsidRDefault="00490ABE" w:rsidP="009D7856">
      <w:pPr>
        <w:numPr>
          <w:ilvl w:val="0"/>
          <w:numId w:val="5"/>
        </w:numPr>
        <w:spacing w:before="120" w:after="120" w:line="360" w:lineRule="auto"/>
        <w:rPr>
          <w:bCs/>
        </w:rPr>
      </w:pPr>
      <w:proofErr w:type="spellStart"/>
      <w:r w:rsidRPr="00D9516D">
        <w:rPr>
          <w:bCs/>
        </w:rPr>
        <w:t>High-Level</w:t>
      </w:r>
      <w:proofErr w:type="spellEnd"/>
      <w:r w:rsidRPr="00D9516D">
        <w:rPr>
          <w:bCs/>
        </w:rPr>
        <w:t xml:space="preserve"> </w:t>
      </w:r>
      <w:proofErr w:type="spellStart"/>
      <w:r w:rsidRPr="00D9516D">
        <w:rPr>
          <w:bCs/>
        </w:rPr>
        <w:t>Policy</w:t>
      </w:r>
      <w:proofErr w:type="spellEnd"/>
      <w:r w:rsidRPr="00D9516D">
        <w:rPr>
          <w:bCs/>
        </w:rPr>
        <w:t xml:space="preserve"> </w:t>
      </w:r>
      <w:proofErr w:type="spellStart"/>
      <w:r w:rsidRPr="00D9516D">
        <w:rPr>
          <w:bCs/>
        </w:rPr>
        <w:t>Forum</w:t>
      </w:r>
      <w:proofErr w:type="spellEnd"/>
      <w:r w:rsidRPr="00D9516D">
        <w:rPr>
          <w:bCs/>
        </w:rPr>
        <w:t xml:space="preserve">: </w:t>
      </w:r>
      <w:proofErr w:type="spellStart"/>
      <w:r w:rsidRPr="00D9516D">
        <w:rPr>
          <w:bCs/>
        </w:rPr>
        <w:t>Health</w:t>
      </w:r>
      <w:proofErr w:type="spellEnd"/>
      <w:r w:rsidRPr="00D9516D">
        <w:rPr>
          <w:bCs/>
        </w:rPr>
        <w:t xml:space="preserve"> in </w:t>
      </w:r>
      <w:proofErr w:type="spellStart"/>
      <w:r w:rsidRPr="00D9516D">
        <w:rPr>
          <w:bCs/>
        </w:rPr>
        <w:t>the</w:t>
      </w:r>
      <w:proofErr w:type="spellEnd"/>
      <w:r w:rsidRPr="00D9516D">
        <w:rPr>
          <w:bCs/>
        </w:rPr>
        <w:t xml:space="preserve"> 21st </w:t>
      </w:r>
      <w:proofErr w:type="spellStart"/>
      <w:r w:rsidRPr="00D9516D">
        <w:rPr>
          <w:bCs/>
        </w:rPr>
        <w:t>Century</w:t>
      </w:r>
      <w:proofErr w:type="spellEnd"/>
      <w:r w:rsidRPr="00D9516D">
        <w:rPr>
          <w:bCs/>
        </w:rPr>
        <w:t xml:space="preserve">: Data, </w:t>
      </w:r>
      <w:proofErr w:type="spellStart"/>
      <w:r w:rsidRPr="00D9516D">
        <w:rPr>
          <w:bCs/>
        </w:rPr>
        <w:t>Policy</w:t>
      </w:r>
      <w:proofErr w:type="spellEnd"/>
      <w:r w:rsidRPr="00D9516D">
        <w:rPr>
          <w:bCs/>
        </w:rPr>
        <w:t xml:space="preserve"> and Digital </w:t>
      </w:r>
      <w:proofErr w:type="spellStart"/>
      <w:r w:rsidRPr="00D9516D">
        <w:rPr>
          <w:bCs/>
        </w:rPr>
        <w:t>Economy</w:t>
      </w:r>
      <w:proofErr w:type="spellEnd"/>
      <w:r w:rsidRPr="00D9516D">
        <w:rPr>
          <w:bCs/>
        </w:rPr>
        <w:t>: 21. 11. (</w:t>
      </w:r>
      <w:r w:rsidR="00440B0C">
        <w:rPr>
          <w:bCs/>
        </w:rPr>
        <w:t>pan ministr; MEZ; M</w:t>
      </w:r>
      <w:r w:rsidR="00800290">
        <w:rPr>
          <w:bCs/>
        </w:rPr>
        <w:t>.</w:t>
      </w:r>
      <w:r w:rsidR="00440B0C">
        <w:rPr>
          <w:bCs/>
        </w:rPr>
        <w:t xml:space="preserve"> Kubicová; ÚZIS, O</w:t>
      </w:r>
      <w:r w:rsidR="00800290">
        <w:rPr>
          <w:bCs/>
        </w:rPr>
        <w:t xml:space="preserve">. </w:t>
      </w:r>
      <w:r w:rsidR="00440B0C">
        <w:rPr>
          <w:bCs/>
        </w:rPr>
        <w:t>Májek</w:t>
      </w:r>
      <w:r w:rsidRPr="00D9516D">
        <w:rPr>
          <w:bCs/>
        </w:rPr>
        <w:t>)</w:t>
      </w:r>
    </w:p>
    <w:p w14:paraId="580CC638" w14:textId="77777777" w:rsidR="00490ABE" w:rsidRPr="00D9516D" w:rsidRDefault="00490ABE" w:rsidP="009D7856">
      <w:pPr>
        <w:numPr>
          <w:ilvl w:val="0"/>
          <w:numId w:val="5"/>
        </w:numPr>
        <w:spacing w:before="120" w:after="120" w:line="360" w:lineRule="auto"/>
        <w:rPr>
          <w:bCs/>
        </w:rPr>
      </w:pPr>
      <w:r w:rsidRPr="00D9516D">
        <w:rPr>
          <w:bCs/>
        </w:rPr>
        <w:t>26. zasedání HC: 11. – 12. 12. (MEZ)</w:t>
      </w:r>
    </w:p>
    <w:p w14:paraId="7D1D3625" w14:textId="77777777" w:rsidR="0037586E" w:rsidRPr="009D7856" w:rsidRDefault="009D7856" w:rsidP="00A56DC5">
      <w:pPr>
        <w:spacing w:line="240" w:lineRule="auto"/>
        <w:jc w:val="left"/>
        <w:rPr>
          <w:b/>
          <w:bCs/>
        </w:rPr>
      </w:pPr>
      <w:r w:rsidRPr="009D7856">
        <w:rPr>
          <w:b/>
          <w:bCs/>
        </w:rPr>
        <w:t>Účast MZ na projektech HC</w:t>
      </w:r>
    </w:p>
    <w:p w14:paraId="64B3278B" w14:textId="77777777" w:rsidR="009D7856" w:rsidRPr="008F6AB3" w:rsidRDefault="008F6AB3" w:rsidP="008F6AB3">
      <w:pPr>
        <w:spacing w:before="120" w:after="120" w:line="360" w:lineRule="auto"/>
        <w:rPr>
          <w:bCs/>
        </w:rPr>
      </w:pPr>
      <w:r w:rsidRPr="008F6AB3">
        <w:rPr>
          <w:bCs/>
        </w:rPr>
        <w:t>Nad rámec aktivit HC byly rovněž zmíněny čtyři projekty, do kterých se ČR aktivně zapojila účastí ve zvláštních pracovních skupinách.</w:t>
      </w:r>
    </w:p>
    <w:p w14:paraId="4800F44F" w14:textId="77777777" w:rsidR="008F6AB3" w:rsidRPr="008F6AB3" w:rsidRDefault="008F6AB3" w:rsidP="008F6AB3">
      <w:pPr>
        <w:spacing w:before="120" w:after="120" w:line="360" w:lineRule="auto"/>
        <w:rPr>
          <w:bCs/>
          <w:u w:val="single"/>
        </w:rPr>
      </w:pPr>
      <w:r w:rsidRPr="008F6AB3">
        <w:rPr>
          <w:bCs/>
          <w:u w:val="single"/>
        </w:rPr>
        <w:t xml:space="preserve">1) Projekt </w:t>
      </w:r>
      <w:proofErr w:type="spellStart"/>
      <w:r w:rsidRPr="008F6AB3">
        <w:rPr>
          <w:bCs/>
          <w:u w:val="single"/>
        </w:rPr>
        <w:t>PaRIS</w:t>
      </w:r>
      <w:proofErr w:type="spellEnd"/>
      <w:r w:rsidRPr="008F6AB3">
        <w:rPr>
          <w:bCs/>
          <w:u w:val="single"/>
        </w:rPr>
        <w:t xml:space="preserve"> (</w:t>
      </w:r>
      <w:proofErr w:type="spellStart"/>
      <w:r w:rsidRPr="008F6AB3">
        <w:rPr>
          <w:bCs/>
          <w:u w:val="single"/>
        </w:rPr>
        <w:t>Patient</w:t>
      </w:r>
      <w:proofErr w:type="spellEnd"/>
      <w:r w:rsidRPr="008F6AB3">
        <w:rPr>
          <w:bCs/>
          <w:u w:val="single"/>
        </w:rPr>
        <w:t xml:space="preserve"> Reporting </w:t>
      </w:r>
      <w:proofErr w:type="spellStart"/>
      <w:r w:rsidRPr="008F6AB3">
        <w:rPr>
          <w:bCs/>
          <w:u w:val="single"/>
        </w:rPr>
        <w:t>Indicators</w:t>
      </w:r>
      <w:proofErr w:type="spellEnd"/>
      <w:r w:rsidRPr="008F6AB3">
        <w:rPr>
          <w:bCs/>
          <w:u w:val="single"/>
        </w:rPr>
        <w:t xml:space="preserve"> </w:t>
      </w:r>
      <w:proofErr w:type="spellStart"/>
      <w:r w:rsidRPr="008F6AB3">
        <w:rPr>
          <w:bCs/>
          <w:u w:val="single"/>
        </w:rPr>
        <w:t>Survey</w:t>
      </w:r>
      <w:proofErr w:type="spellEnd"/>
      <w:r w:rsidRPr="008F6AB3">
        <w:rPr>
          <w:bCs/>
          <w:u w:val="single"/>
        </w:rPr>
        <w:t>)</w:t>
      </w:r>
    </w:p>
    <w:p w14:paraId="67A95B5B" w14:textId="75E12389" w:rsidR="009D7856" w:rsidRPr="008F6AB3" w:rsidRDefault="008F6AB3" w:rsidP="008F6AB3">
      <w:pPr>
        <w:spacing w:before="120" w:after="120" w:line="360" w:lineRule="auto"/>
        <w:rPr>
          <w:bCs/>
        </w:rPr>
      </w:pPr>
      <w:r w:rsidRPr="008F6AB3">
        <w:rPr>
          <w:bCs/>
        </w:rPr>
        <w:t>Návrh a implementace mezinárodně srovnatelného ukazatele výsledků péče a zkušeností s ní z pohledu pacienta. Zástupce</w:t>
      </w:r>
      <w:r>
        <w:rPr>
          <w:bCs/>
        </w:rPr>
        <w:t>m je</w:t>
      </w:r>
      <w:r w:rsidRPr="008F6AB3">
        <w:rPr>
          <w:bCs/>
        </w:rPr>
        <w:t xml:space="preserve"> B</w:t>
      </w:r>
      <w:r w:rsidR="00800290">
        <w:rPr>
          <w:bCs/>
        </w:rPr>
        <w:t xml:space="preserve">. </w:t>
      </w:r>
      <w:r w:rsidRPr="008F6AB3">
        <w:rPr>
          <w:bCs/>
        </w:rPr>
        <w:t>Seifert (podrobněji vizte dále)</w:t>
      </w:r>
      <w:r w:rsidR="00800290">
        <w:rPr>
          <w:bCs/>
        </w:rPr>
        <w:t>.</w:t>
      </w:r>
    </w:p>
    <w:p w14:paraId="67229809" w14:textId="77777777" w:rsidR="008F6AB3" w:rsidRPr="008F6AB3" w:rsidRDefault="008F6AB3" w:rsidP="008F6AB3">
      <w:pPr>
        <w:spacing w:before="120" w:after="120" w:line="360" w:lineRule="auto"/>
        <w:rPr>
          <w:bCs/>
          <w:u w:val="single"/>
        </w:rPr>
      </w:pPr>
      <w:r w:rsidRPr="008F6AB3">
        <w:rPr>
          <w:bCs/>
          <w:u w:val="single"/>
        </w:rPr>
        <w:lastRenderedPageBreak/>
        <w:t>2) Oblast duševního zdraví</w:t>
      </w:r>
    </w:p>
    <w:p w14:paraId="352F7347" w14:textId="69929ED6" w:rsidR="008F6AB3" w:rsidRPr="008F6AB3" w:rsidRDefault="008F6AB3" w:rsidP="008F6AB3">
      <w:pPr>
        <w:spacing w:before="120" w:after="120" w:line="360" w:lineRule="auto"/>
        <w:rPr>
          <w:bCs/>
        </w:rPr>
      </w:pPr>
      <w:r w:rsidRPr="008F6AB3">
        <w:rPr>
          <w:bCs/>
        </w:rPr>
        <w:t>Projekt zaměřený na mezinárodní srovnání a určení osvědčených postupů, zkušeností pacientů a měření výkonnosti v oblasti duševního zdraví. Za ČR se úvodního setkání zúčastnila D</w:t>
      </w:r>
      <w:r w:rsidR="00800290">
        <w:rPr>
          <w:bCs/>
        </w:rPr>
        <w:t xml:space="preserve">. </w:t>
      </w:r>
      <w:r w:rsidRPr="008F6AB3">
        <w:rPr>
          <w:bCs/>
        </w:rPr>
        <w:t>Protopopová</w:t>
      </w:r>
    </w:p>
    <w:p w14:paraId="786634BE" w14:textId="77777777" w:rsidR="008F6AB3" w:rsidRPr="008F6AB3" w:rsidRDefault="008F6AB3" w:rsidP="008F6AB3">
      <w:pPr>
        <w:spacing w:before="120" w:after="120" w:line="360" w:lineRule="auto"/>
        <w:rPr>
          <w:bCs/>
          <w:u w:val="single"/>
        </w:rPr>
      </w:pPr>
      <w:r w:rsidRPr="008F6AB3">
        <w:rPr>
          <w:bCs/>
          <w:u w:val="single"/>
        </w:rPr>
        <w:t>3) Oblast bezpečnosti pacientů</w:t>
      </w:r>
    </w:p>
    <w:p w14:paraId="040267F2" w14:textId="59A823F2" w:rsidR="008F6AB3" w:rsidRDefault="008F6AB3" w:rsidP="008F6AB3">
      <w:pPr>
        <w:spacing w:before="120" w:after="120" w:line="360" w:lineRule="auto"/>
        <w:rPr>
          <w:bCs/>
        </w:rPr>
      </w:pPr>
      <w:r w:rsidRPr="008F6AB3">
        <w:rPr>
          <w:bCs/>
        </w:rPr>
        <w:t>Projekt si klade za cíl identifikovat vhodné indikátory k zaznamenání názoru pacientů na bezpečnost zdravotní péče. Plánuje se vývoj indikátorů v oblastech prevence incidentů, pacienty hlášen</w:t>
      </w:r>
      <w:r w:rsidR="00204BE6">
        <w:rPr>
          <w:bCs/>
        </w:rPr>
        <w:t>ých</w:t>
      </w:r>
      <w:r w:rsidRPr="008F6AB3">
        <w:rPr>
          <w:bCs/>
        </w:rPr>
        <w:t xml:space="preserve"> nehod a management</w:t>
      </w:r>
      <w:r w:rsidR="00204BE6">
        <w:rPr>
          <w:bCs/>
        </w:rPr>
        <w:t>u</w:t>
      </w:r>
      <w:r w:rsidRPr="008F6AB3">
        <w:rPr>
          <w:bCs/>
        </w:rPr>
        <w:t xml:space="preserve"> incidentů. Členy jsou zástupci resortů i pacientských organizací</w:t>
      </w:r>
      <w:r w:rsidR="00440B0C">
        <w:rPr>
          <w:bCs/>
        </w:rPr>
        <w:t>. ČR je od počátku</w:t>
      </w:r>
      <w:r>
        <w:rPr>
          <w:bCs/>
        </w:rPr>
        <w:t xml:space="preserve"> součástí</w:t>
      </w:r>
      <w:r w:rsidRPr="008F6AB3">
        <w:rPr>
          <w:bCs/>
        </w:rPr>
        <w:t>.</w:t>
      </w:r>
      <w:r>
        <w:rPr>
          <w:bCs/>
        </w:rPr>
        <w:t xml:space="preserve"> Sekretariát připravil několik </w:t>
      </w:r>
      <w:r w:rsidRPr="008F6AB3">
        <w:rPr>
          <w:bCs/>
        </w:rPr>
        <w:t>dotazník</w:t>
      </w:r>
      <w:r>
        <w:rPr>
          <w:bCs/>
        </w:rPr>
        <w:t>ů</w:t>
      </w:r>
      <w:r w:rsidRPr="008F6AB3">
        <w:rPr>
          <w:bCs/>
        </w:rPr>
        <w:t xml:space="preserve"> týkající</w:t>
      </w:r>
      <w:r w:rsidR="00204BE6">
        <w:rPr>
          <w:bCs/>
        </w:rPr>
        <w:t>ch</w:t>
      </w:r>
      <w:r w:rsidRPr="008F6AB3">
        <w:rPr>
          <w:bCs/>
        </w:rPr>
        <w:t xml:space="preserve"> se priorit v této oblasti, strategií a měření kultury bezpečnosti pacientů napříč zeměmi. Participace v současné době spočívá v elektronické komunikac</w:t>
      </w:r>
      <w:r>
        <w:rPr>
          <w:bCs/>
        </w:rPr>
        <w:t>i</w:t>
      </w:r>
      <w:r w:rsidRPr="008F6AB3">
        <w:rPr>
          <w:bCs/>
        </w:rPr>
        <w:t xml:space="preserve"> bez pravidelných schůzek. ČR zastoupena A</w:t>
      </w:r>
      <w:r w:rsidR="00800290">
        <w:rPr>
          <w:bCs/>
        </w:rPr>
        <w:t xml:space="preserve">. </w:t>
      </w:r>
      <w:proofErr w:type="spellStart"/>
      <w:r w:rsidRPr="008F6AB3">
        <w:rPr>
          <w:bCs/>
        </w:rPr>
        <w:t>Arellanesovou</w:t>
      </w:r>
      <w:proofErr w:type="spellEnd"/>
      <w:r w:rsidRPr="008F6AB3">
        <w:rPr>
          <w:bCs/>
        </w:rPr>
        <w:t xml:space="preserve"> (Česká asociace pro vzácná onemocnění</w:t>
      </w:r>
      <w:r w:rsidR="00E722C0">
        <w:rPr>
          <w:bCs/>
        </w:rPr>
        <w:t>, návrh OPP</w:t>
      </w:r>
      <w:r>
        <w:rPr>
          <w:bCs/>
        </w:rPr>
        <w:t>)</w:t>
      </w:r>
      <w:r w:rsidRPr="008F6AB3">
        <w:rPr>
          <w:bCs/>
        </w:rPr>
        <w:t xml:space="preserve"> a F</w:t>
      </w:r>
      <w:r w:rsidR="00800290">
        <w:rPr>
          <w:bCs/>
        </w:rPr>
        <w:t xml:space="preserve">. </w:t>
      </w:r>
      <w:r w:rsidRPr="008F6AB3">
        <w:rPr>
          <w:bCs/>
        </w:rPr>
        <w:t>Vlčkem</w:t>
      </w:r>
      <w:r w:rsidR="00800290">
        <w:rPr>
          <w:bCs/>
        </w:rPr>
        <w:t xml:space="preserve"> </w:t>
      </w:r>
      <w:r w:rsidRPr="008F6AB3">
        <w:rPr>
          <w:bCs/>
        </w:rPr>
        <w:t>(Spojená akreditační komise</w:t>
      </w:r>
      <w:r w:rsidR="00E722C0">
        <w:rPr>
          <w:bCs/>
        </w:rPr>
        <w:t>, návrh OZP</w:t>
      </w:r>
      <w:r w:rsidRPr="008F6AB3">
        <w:rPr>
          <w:bCs/>
        </w:rPr>
        <w:t xml:space="preserve">). </w:t>
      </w:r>
    </w:p>
    <w:p w14:paraId="6B5A5965" w14:textId="77777777" w:rsidR="008F6AB3" w:rsidRPr="008F6AB3" w:rsidRDefault="008F6AB3" w:rsidP="008F6AB3">
      <w:pPr>
        <w:spacing w:before="120" w:after="120" w:line="360" w:lineRule="auto"/>
        <w:rPr>
          <w:bCs/>
          <w:u w:val="single"/>
        </w:rPr>
      </w:pPr>
      <w:r>
        <w:rPr>
          <w:bCs/>
          <w:u w:val="single"/>
        </w:rPr>
        <w:t>4</w:t>
      </w:r>
      <w:r w:rsidRPr="008F6AB3">
        <w:rPr>
          <w:bCs/>
          <w:u w:val="single"/>
        </w:rPr>
        <w:t xml:space="preserve">) </w:t>
      </w:r>
      <w:r>
        <w:rPr>
          <w:bCs/>
          <w:u w:val="single"/>
        </w:rPr>
        <w:t>Genetické testování</w:t>
      </w:r>
    </w:p>
    <w:p w14:paraId="04247786" w14:textId="4AA90AEA" w:rsidR="008F6AB3" w:rsidRDefault="00FC7A04" w:rsidP="00FC7A04">
      <w:pPr>
        <w:spacing w:before="120" w:after="120" w:line="360" w:lineRule="auto"/>
      </w:pPr>
      <w:r w:rsidRPr="00FC7A04">
        <w:rPr>
          <w:bCs/>
        </w:rPr>
        <w:t xml:space="preserve">Nový projekt </w:t>
      </w:r>
      <w:r w:rsidRPr="00FC7A04">
        <w:t xml:space="preserve">Expert Group on </w:t>
      </w:r>
      <w:proofErr w:type="spellStart"/>
      <w:r w:rsidRPr="00FC7A04">
        <w:t>Pharmaceuticals</w:t>
      </w:r>
      <w:proofErr w:type="spellEnd"/>
      <w:r w:rsidRPr="00FC7A04">
        <w:t xml:space="preserve"> and </w:t>
      </w:r>
      <w:proofErr w:type="spellStart"/>
      <w:r w:rsidRPr="00FC7A04">
        <w:t>Medical</w:t>
      </w:r>
      <w:proofErr w:type="spellEnd"/>
      <w:r w:rsidRPr="00FC7A04">
        <w:t xml:space="preserve"> </w:t>
      </w:r>
      <w:proofErr w:type="spellStart"/>
      <w:r w:rsidRPr="00FC7A04">
        <w:t>Devices</w:t>
      </w:r>
      <w:proofErr w:type="spellEnd"/>
      <w:r>
        <w:t xml:space="preserve">, který má </w:t>
      </w:r>
      <w:r w:rsidRPr="00FC7A04">
        <w:t>za cíl popsat problematiku genetického testování v zemích OECD (dostupnost, hrazení atd.) se zaměřením na genetické testy</w:t>
      </w:r>
      <w:r>
        <w:t xml:space="preserve">. ČR nominovala </w:t>
      </w:r>
      <w:r w:rsidRPr="00FC7A04">
        <w:t>M</w:t>
      </w:r>
      <w:r w:rsidR="00800290">
        <w:t xml:space="preserve">. </w:t>
      </w:r>
      <w:r w:rsidRPr="00FC7A04">
        <w:t>Mack</w:t>
      </w:r>
      <w:r>
        <w:t>a</w:t>
      </w:r>
      <w:r w:rsidRPr="00FC7A04">
        <w:t xml:space="preserve"> (Společnost lékařské genetiky a genomiky CLS JEP).</w:t>
      </w:r>
      <w:r>
        <w:t xml:space="preserve"> Nyní se </w:t>
      </w:r>
      <w:r w:rsidR="00440B0C">
        <w:t>čeká,</w:t>
      </w:r>
      <w:r>
        <w:t xml:space="preserve"> zda na projekt budou alokované finance.</w:t>
      </w:r>
    </w:p>
    <w:p w14:paraId="0609FEAA" w14:textId="77777777" w:rsidR="001A7AEA" w:rsidRPr="00D9516D" w:rsidRDefault="001A7AEA" w:rsidP="001B2BED">
      <w:pPr>
        <w:spacing w:before="120" w:after="120" w:line="360" w:lineRule="auto"/>
        <w:rPr>
          <w:b/>
          <w:bCs/>
        </w:rPr>
      </w:pPr>
      <w:r w:rsidRPr="00D9516D">
        <w:rPr>
          <w:b/>
          <w:bCs/>
        </w:rPr>
        <w:t xml:space="preserve">Projekt </w:t>
      </w:r>
      <w:proofErr w:type="spellStart"/>
      <w:r w:rsidRPr="00D9516D">
        <w:rPr>
          <w:b/>
          <w:bCs/>
        </w:rPr>
        <w:t>PaRIS</w:t>
      </w:r>
      <w:proofErr w:type="spellEnd"/>
    </w:p>
    <w:p w14:paraId="487B6EF6" w14:textId="77777777" w:rsidR="001B2BED" w:rsidRDefault="00BA771D" w:rsidP="001B2BED">
      <w:pPr>
        <w:spacing w:before="120" w:after="120" w:line="360" w:lineRule="auto"/>
        <w:rPr>
          <w:bCs/>
        </w:rPr>
      </w:pPr>
      <w:r w:rsidRPr="00BA771D">
        <w:rPr>
          <w:bCs/>
        </w:rPr>
        <w:t>Účastníkům byl</w:t>
      </w:r>
      <w:r w:rsidR="00FC7A04">
        <w:rPr>
          <w:bCs/>
        </w:rPr>
        <w:t xml:space="preserve">y shrnuty informace k projektu </w:t>
      </w:r>
      <w:proofErr w:type="spellStart"/>
      <w:r w:rsidR="00FC7A04">
        <w:rPr>
          <w:bCs/>
        </w:rPr>
        <w:t>PaRIS</w:t>
      </w:r>
      <w:proofErr w:type="spellEnd"/>
      <w:r w:rsidR="00FC7A04">
        <w:rPr>
          <w:bCs/>
        </w:rPr>
        <w:t xml:space="preserve"> (zaměření, jednotlivé fáze, náklady) a</w:t>
      </w:r>
      <w:r w:rsidR="00440B0C">
        <w:rPr>
          <w:bCs/>
        </w:rPr>
        <w:t> </w:t>
      </w:r>
      <w:r w:rsidR="00FC7A04">
        <w:rPr>
          <w:bCs/>
        </w:rPr>
        <w:t xml:space="preserve">další postup. </w:t>
      </w:r>
    </w:p>
    <w:p w14:paraId="425CBDD7" w14:textId="521486DA" w:rsidR="00FC7A04" w:rsidRDefault="00FC7A04" w:rsidP="001B2BED">
      <w:pPr>
        <w:spacing w:before="120" w:after="120" w:line="360" w:lineRule="auto"/>
        <w:rPr>
          <w:bCs/>
        </w:rPr>
      </w:pPr>
      <w:r>
        <w:rPr>
          <w:bCs/>
        </w:rPr>
        <w:t xml:space="preserve">Projektové řízení bylo ukončeno teprve v červenci (projekt je ve skluzu). Mezinárodní </w:t>
      </w:r>
      <w:r w:rsidR="00800290">
        <w:rPr>
          <w:bCs/>
        </w:rPr>
        <w:t xml:space="preserve">dodavatel </w:t>
      </w:r>
      <w:r>
        <w:rPr>
          <w:bCs/>
        </w:rPr>
        <w:t xml:space="preserve">by měl </w:t>
      </w:r>
      <w:r w:rsidRPr="00FC7A04">
        <w:rPr>
          <w:bCs/>
        </w:rPr>
        <w:t xml:space="preserve">kontaktovat </w:t>
      </w:r>
      <w:r>
        <w:rPr>
          <w:bCs/>
        </w:rPr>
        <w:t xml:space="preserve">(pravděpodobně v říjnu) </w:t>
      </w:r>
      <w:r w:rsidRPr="00FC7A04">
        <w:rPr>
          <w:bCs/>
        </w:rPr>
        <w:t>národní státy a zahájit jednání o</w:t>
      </w:r>
      <w:r w:rsidR="00440B0C">
        <w:rPr>
          <w:bCs/>
        </w:rPr>
        <w:t> </w:t>
      </w:r>
      <w:r w:rsidRPr="00FC7A04">
        <w:rPr>
          <w:bCs/>
        </w:rPr>
        <w:t xml:space="preserve">realizaci první fáze projektu </w:t>
      </w:r>
      <w:r>
        <w:rPr>
          <w:bCs/>
        </w:rPr>
        <w:t xml:space="preserve">a poskytnout konkrétní informace (zejména o vlastní implementaci, přípravě </w:t>
      </w:r>
      <w:proofErr w:type="spellStart"/>
      <w:r w:rsidR="00204BE6">
        <w:rPr>
          <w:bCs/>
        </w:rPr>
        <w:t>r</w:t>
      </w:r>
      <w:r>
        <w:rPr>
          <w:bCs/>
        </w:rPr>
        <w:t>oadmap</w:t>
      </w:r>
      <w:proofErr w:type="spellEnd"/>
      <w:r>
        <w:rPr>
          <w:bCs/>
        </w:rPr>
        <w:t xml:space="preserve">, výši a distribuci nákladů) k realizaci zbylých dvou fází. Na základě tohoto jednání by měla vzniknout tzv. </w:t>
      </w:r>
      <w:proofErr w:type="spellStart"/>
      <w:r>
        <w:rPr>
          <w:bCs/>
        </w:rPr>
        <w:t>roadmap</w:t>
      </w:r>
      <w:proofErr w:type="spellEnd"/>
      <w:r>
        <w:rPr>
          <w:bCs/>
        </w:rPr>
        <w:t xml:space="preserve"> pro každý ČS (vyhotoven</w:t>
      </w:r>
      <w:r w:rsidR="00440B0C">
        <w:rPr>
          <w:bCs/>
        </w:rPr>
        <w:t>a</w:t>
      </w:r>
      <w:r>
        <w:rPr>
          <w:bCs/>
        </w:rPr>
        <w:t xml:space="preserve"> nejpozději na začátku roku 2020), která bude obsahovat konkrétní časový plán, náklady a požadavky na každý ČS. </w:t>
      </w:r>
      <w:r w:rsidR="00631B66">
        <w:rPr>
          <w:bCs/>
        </w:rPr>
        <w:t xml:space="preserve">Na základě této </w:t>
      </w:r>
      <w:proofErr w:type="spellStart"/>
      <w:r w:rsidR="00631B66">
        <w:rPr>
          <w:bCs/>
        </w:rPr>
        <w:t>roadmap</w:t>
      </w:r>
      <w:proofErr w:type="spellEnd"/>
      <w:r w:rsidR="00631B66">
        <w:rPr>
          <w:bCs/>
        </w:rPr>
        <w:t xml:space="preserve"> by měl každý ČS definitivně rozhodnout o účasti ve druhé a třetí fázi </w:t>
      </w:r>
      <w:r w:rsidR="00440B0C">
        <w:rPr>
          <w:bCs/>
        </w:rPr>
        <w:t xml:space="preserve">projektu </w:t>
      </w:r>
      <w:r w:rsidR="00631B66">
        <w:rPr>
          <w:bCs/>
        </w:rPr>
        <w:t>a přistoupit k podepsání bilaterální dohody (nejpozději v první polovině roku 2020).</w:t>
      </w:r>
    </w:p>
    <w:p w14:paraId="7AEBBF36" w14:textId="181F138A" w:rsidR="00A57F72" w:rsidRDefault="00631B66" w:rsidP="001B2BED">
      <w:pPr>
        <w:spacing w:before="120" w:after="120" w:line="360" w:lineRule="auto"/>
        <w:rPr>
          <w:bCs/>
        </w:rPr>
      </w:pPr>
      <w:r>
        <w:rPr>
          <w:bCs/>
        </w:rPr>
        <w:t>ČR v tuto chvíli na projektu participuje pouze v rámci jednání pracovní skupiny (WP-</w:t>
      </w:r>
      <w:proofErr w:type="spellStart"/>
      <w:r>
        <w:rPr>
          <w:bCs/>
        </w:rPr>
        <w:t>PaRIS</w:t>
      </w:r>
      <w:proofErr w:type="spellEnd"/>
      <w:r>
        <w:rPr>
          <w:bCs/>
        </w:rPr>
        <w:t xml:space="preserve">) a čeká na oslovení ze strany Sekretariátu (respektive mezinárodního </w:t>
      </w:r>
      <w:r w:rsidR="00800290">
        <w:rPr>
          <w:bCs/>
        </w:rPr>
        <w:t>dodavatele</w:t>
      </w:r>
      <w:r>
        <w:rPr>
          <w:bCs/>
        </w:rPr>
        <w:t>) k prvotním jednání</w:t>
      </w:r>
      <w:r w:rsidR="00204BE6">
        <w:rPr>
          <w:bCs/>
        </w:rPr>
        <w:t>m</w:t>
      </w:r>
      <w:r>
        <w:rPr>
          <w:bCs/>
        </w:rPr>
        <w:t xml:space="preserve"> o implementaci projektu. </w:t>
      </w:r>
      <w:r w:rsidRPr="00DB1293">
        <w:rPr>
          <w:b/>
          <w:bCs/>
        </w:rPr>
        <w:t xml:space="preserve">Na základě všech známých informací bude po jednání vypracován podklad na poradu vedení k rozhodnutí o účasti v dalších fázích (tj. </w:t>
      </w:r>
      <w:r w:rsidRPr="00DB1293">
        <w:rPr>
          <w:b/>
          <w:bCs/>
        </w:rPr>
        <w:lastRenderedPageBreak/>
        <w:t>podepsání bilaterální dohody).</w:t>
      </w:r>
      <w:r w:rsidRPr="00631B66">
        <w:t xml:space="preserve"> </w:t>
      </w:r>
      <w:r w:rsidRPr="00631B66">
        <w:rPr>
          <w:bCs/>
        </w:rPr>
        <w:t xml:space="preserve">Součástí materiálu bude žádost o zvážení poskytnutí dobrovolného příspěvku vázaného na projekt </w:t>
      </w:r>
      <w:proofErr w:type="spellStart"/>
      <w:r w:rsidRPr="00631B66">
        <w:rPr>
          <w:bCs/>
        </w:rPr>
        <w:t>PaRIS</w:t>
      </w:r>
      <w:proofErr w:type="spellEnd"/>
      <w:r>
        <w:rPr>
          <w:bCs/>
        </w:rPr>
        <w:t xml:space="preserve">. Dle </w:t>
      </w:r>
      <w:r w:rsidRPr="008F6AB3">
        <w:rPr>
          <w:bCs/>
        </w:rPr>
        <w:t>B</w:t>
      </w:r>
      <w:r w:rsidR="00800290">
        <w:rPr>
          <w:bCs/>
        </w:rPr>
        <w:t>.</w:t>
      </w:r>
      <w:r w:rsidRPr="008F6AB3">
        <w:rPr>
          <w:bCs/>
        </w:rPr>
        <w:t xml:space="preserve"> Seifert</w:t>
      </w:r>
      <w:r>
        <w:rPr>
          <w:bCs/>
        </w:rPr>
        <w:t>a (hlavní koordinátor, bude nominován jako tzv. projektový manažer za ČR) není implementace první fáze projektu časově náročná</w:t>
      </w:r>
      <w:r w:rsidR="00427107">
        <w:rPr>
          <w:bCs/>
        </w:rPr>
        <w:t xml:space="preserve"> (byla zmíněna předešlá pozitivní zkušenost se společností NIVE, která je zahrnuta ve vítězném konsorciu mezinárodního dodavatel</w:t>
      </w:r>
      <w:r w:rsidR="00440B0C">
        <w:rPr>
          <w:bCs/>
        </w:rPr>
        <w:t>e</w:t>
      </w:r>
      <w:r w:rsidR="00427107">
        <w:rPr>
          <w:bCs/>
        </w:rPr>
        <w:t>)</w:t>
      </w:r>
      <w:r>
        <w:rPr>
          <w:bCs/>
        </w:rPr>
        <w:t xml:space="preserve"> a je možné ji zahájit teprve v první polovině roku 2020</w:t>
      </w:r>
      <w:r w:rsidR="0024352B">
        <w:rPr>
          <w:bCs/>
        </w:rPr>
        <w:t>,</w:t>
      </w:r>
      <w:r>
        <w:rPr>
          <w:bCs/>
        </w:rPr>
        <w:t xml:space="preserve"> tj. krátce před koncem termínu první fáze projektu. </w:t>
      </w:r>
      <w:r w:rsidR="001B2BED">
        <w:rPr>
          <w:bCs/>
        </w:rPr>
        <w:t>V krátkosti byla zmíněna možnost pozvat zástupce Sekretariátu OECD</w:t>
      </w:r>
      <w:r w:rsidR="00440B0C">
        <w:rPr>
          <w:bCs/>
        </w:rPr>
        <w:t xml:space="preserve"> do ČR</w:t>
      </w:r>
      <w:r w:rsidR="001B2BED">
        <w:rPr>
          <w:bCs/>
        </w:rPr>
        <w:t xml:space="preserve"> k propagaci semináře</w:t>
      </w:r>
      <w:r w:rsidR="00440B0C">
        <w:rPr>
          <w:bCs/>
        </w:rPr>
        <w:t xml:space="preserve"> (bude vyjasněno na základě jednání)</w:t>
      </w:r>
      <w:r w:rsidR="001B2BED">
        <w:rPr>
          <w:bCs/>
        </w:rPr>
        <w:t xml:space="preserve">. </w:t>
      </w:r>
    </w:p>
    <w:p w14:paraId="41138037" w14:textId="14A13747" w:rsidR="001B2BED" w:rsidRDefault="001B2BED" w:rsidP="001B2BED">
      <w:pPr>
        <w:spacing w:before="120" w:after="120" w:line="360" w:lineRule="auto"/>
        <w:rPr>
          <w:bCs/>
        </w:rPr>
      </w:pPr>
      <w:r>
        <w:rPr>
          <w:bCs/>
        </w:rPr>
        <w:t xml:space="preserve">Rovněž byla zmíněna snaha MZ financovat první fázi projektu (tj. národní náklady) prostřednictvím finančních prostředků </w:t>
      </w:r>
      <w:r w:rsidRPr="001B2BED">
        <w:rPr>
          <w:bCs/>
        </w:rPr>
        <w:t>v rámci Útvaru na podporu strukturální reforem (</w:t>
      </w:r>
      <w:proofErr w:type="spellStart"/>
      <w:r w:rsidRPr="001B2BED">
        <w:rPr>
          <w:bCs/>
        </w:rPr>
        <w:t>Structural</w:t>
      </w:r>
      <w:proofErr w:type="spellEnd"/>
      <w:r w:rsidRPr="001B2BED">
        <w:rPr>
          <w:bCs/>
        </w:rPr>
        <w:t xml:space="preserve"> </w:t>
      </w:r>
      <w:proofErr w:type="spellStart"/>
      <w:r w:rsidRPr="001B2BED">
        <w:rPr>
          <w:bCs/>
        </w:rPr>
        <w:t>Reform</w:t>
      </w:r>
      <w:proofErr w:type="spellEnd"/>
      <w:r w:rsidRPr="001B2BED">
        <w:rPr>
          <w:bCs/>
        </w:rPr>
        <w:t xml:space="preserve"> Support </w:t>
      </w:r>
      <w:proofErr w:type="spellStart"/>
      <w:r w:rsidRPr="001B2BED">
        <w:rPr>
          <w:bCs/>
        </w:rPr>
        <w:t>Service</w:t>
      </w:r>
      <w:proofErr w:type="spellEnd"/>
      <w:r w:rsidRPr="001B2BED">
        <w:rPr>
          <w:bCs/>
        </w:rPr>
        <w:t xml:space="preserve">, SRSS) </w:t>
      </w:r>
      <w:r w:rsidR="00440B0C">
        <w:rPr>
          <w:bCs/>
        </w:rPr>
        <w:t>EK</w:t>
      </w:r>
      <w:r>
        <w:rPr>
          <w:bCs/>
        </w:rPr>
        <w:t xml:space="preserve">. </w:t>
      </w:r>
      <w:r w:rsidR="00A57F72" w:rsidRPr="00FB73CF">
        <w:rPr>
          <w:bCs/>
          <w:szCs w:val="22"/>
        </w:rPr>
        <w:t xml:space="preserve">Odbor MEZ ve spolupráci s OZP a </w:t>
      </w:r>
      <w:r w:rsidR="00800290">
        <w:rPr>
          <w:bCs/>
          <w:szCs w:val="22"/>
        </w:rPr>
        <w:t>B.</w:t>
      </w:r>
      <w:r w:rsidR="00A57F72" w:rsidRPr="00FB73CF">
        <w:rPr>
          <w:bCs/>
          <w:szCs w:val="22"/>
        </w:rPr>
        <w:t xml:space="preserve"> Seifertem připravil </w:t>
      </w:r>
      <w:r w:rsidR="00A57F72">
        <w:rPr>
          <w:bCs/>
          <w:szCs w:val="22"/>
        </w:rPr>
        <w:t xml:space="preserve">v létě t.r. </w:t>
      </w:r>
      <w:r w:rsidR="00A57F72" w:rsidRPr="00FB73CF">
        <w:rPr>
          <w:bCs/>
          <w:szCs w:val="22"/>
        </w:rPr>
        <w:t xml:space="preserve">podklad k finanční podpoře EK na realizaci první fáze projektu v ČR v odhadované hodnotě 250 tis. Kč. (jedná se o odhad národních nákladů, částka by byla upravena na základě </w:t>
      </w:r>
      <w:r w:rsidR="00440B0C">
        <w:rPr>
          <w:bCs/>
          <w:szCs w:val="22"/>
        </w:rPr>
        <w:t>dalších</w:t>
      </w:r>
      <w:r w:rsidR="00A57F72" w:rsidRPr="00FB73CF">
        <w:rPr>
          <w:bCs/>
          <w:szCs w:val="22"/>
        </w:rPr>
        <w:t xml:space="preserve"> jednání s mezinárodním dodavatelem a Sekretariátem OECD) a následně </w:t>
      </w:r>
      <w:r w:rsidR="00440B0C">
        <w:rPr>
          <w:bCs/>
          <w:szCs w:val="22"/>
        </w:rPr>
        <w:t xml:space="preserve">došlo k </w:t>
      </w:r>
      <w:r w:rsidR="00A57F72" w:rsidRPr="00FB73CF">
        <w:rPr>
          <w:bCs/>
          <w:szCs w:val="22"/>
        </w:rPr>
        <w:t>jedn</w:t>
      </w:r>
      <w:r w:rsidR="00440B0C">
        <w:rPr>
          <w:bCs/>
          <w:szCs w:val="22"/>
        </w:rPr>
        <w:t>ání</w:t>
      </w:r>
      <w:r w:rsidR="00A57F72" w:rsidRPr="00FB73CF">
        <w:rPr>
          <w:bCs/>
          <w:szCs w:val="22"/>
        </w:rPr>
        <w:t xml:space="preserve"> na ÚV s EK </w:t>
      </w:r>
      <w:r w:rsidR="00A57F72">
        <w:rPr>
          <w:bCs/>
          <w:szCs w:val="22"/>
        </w:rPr>
        <w:t>o </w:t>
      </w:r>
      <w:r w:rsidR="00A57F72" w:rsidRPr="00FB73CF">
        <w:rPr>
          <w:bCs/>
          <w:szCs w:val="22"/>
        </w:rPr>
        <w:t>možné podpoře projektu. Dle vyjádření EK není podpora EU pro první fázi projektu proveditelná a doporučila žádat o finanční prostředky ve druhé a třetí fázi, tedy jakmile bude ČR (a ostatní ČS) disponovat bližšími informacemi o</w:t>
      </w:r>
      <w:r w:rsidR="00440B0C">
        <w:rPr>
          <w:bCs/>
          <w:szCs w:val="22"/>
        </w:rPr>
        <w:t> </w:t>
      </w:r>
      <w:r w:rsidR="00A57F72" w:rsidRPr="00FB73CF">
        <w:rPr>
          <w:bCs/>
          <w:szCs w:val="22"/>
        </w:rPr>
        <w:t>realizaci (současně</w:t>
      </w:r>
      <w:r w:rsidR="00A57F72">
        <w:rPr>
          <w:bCs/>
          <w:szCs w:val="22"/>
        </w:rPr>
        <w:t xml:space="preserve"> v situaci,</w:t>
      </w:r>
      <w:r w:rsidR="00A57F72" w:rsidRPr="00FB73CF">
        <w:rPr>
          <w:bCs/>
          <w:szCs w:val="22"/>
        </w:rPr>
        <w:t xml:space="preserve"> kdy bude částka v</w:t>
      </w:r>
      <w:r w:rsidR="00A57F72">
        <w:rPr>
          <w:bCs/>
          <w:szCs w:val="22"/>
        </w:rPr>
        <w:t>yš</w:t>
      </w:r>
      <w:r w:rsidR="00A57F72" w:rsidRPr="00FB73CF">
        <w:rPr>
          <w:bCs/>
          <w:szCs w:val="22"/>
        </w:rPr>
        <w:t>ší, neboť se zpracováním žádosti jsou spojeny administrativní náklady). EK požaduje, aby byl v návrhu projektu prostor pro předání expertíz</w:t>
      </w:r>
      <w:r w:rsidR="00A57F72">
        <w:rPr>
          <w:bCs/>
          <w:szCs w:val="22"/>
        </w:rPr>
        <w:t>y</w:t>
      </w:r>
      <w:r w:rsidR="00A57F72" w:rsidRPr="00FB73CF">
        <w:rPr>
          <w:bCs/>
          <w:szCs w:val="22"/>
        </w:rPr>
        <w:t xml:space="preserve"> také</w:t>
      </w:r>
      <w:r w:rsidR="00A57F72">
        <w:rPr>
          <w:bCs/>
          <w:szCs w:val="22"/>
        </w:rPr>
        <w:t xml:space="preserve"> ze strany</w:t>
      </w:r>
      <w:r w:rsidR="00A57F72" w:rsidRPr="00FB73CF">
        <w:rPr>
          <w:bCs/>
          <w:szCs w:val="22"/>
        </w:rPr>
        <w:t xml:space="preserve"> EK (nikoliv jen financování expertízy OECD), což v této fázi (a časové </w:t>
      </w:r>
      <w:r w:rsidR="00DB1293" w:rsidRPr="00FB73CF">
        <w:rPr>
          <w:bCs/>
          <w:szCs w:val="22"/>
        </w:rPr>
        <w:t>tísni</w:t>
      </w:r>
      <w:r w:rsidR="00DB1293">
        <w:rPr>
          <w:bCs/>
          <w:szCs w:val="22"/>
        </w:rPr>
        <w:t xml:space="preserve"> – žádost</w:t>
      </w:r>
      <w:r w:rsidR="00A57F72" w:rsidRPr="00FB73CF">
        <w:rPr>
          <w:bCs/>
          <w:szCs w:val="22"/>
        </w:rPr>
        <w:t xml:space="preserve"> </w:t>
      </w:r>
      <w:r w:rsidR="00A57F72">
        <w:rPr>
          <w:bCs/>
          <w:szCs w:val="22"/>
        </w:rPr>
        <w:t>by se odesílala</w:t>
      </w:r>
      <w:r w:rsidR="00A57F72" w:rsidRPr="00FB73CF">
        <w:rPr>
          <w:bCs/>
          <w:szCs w:val="22"/>
        </w:rPr>
        <w:t xml:space="preserve"> v září)</w:t>
      </w:r>
      <w:r w:rsidR="00A57F72">
        <w:rPr>
          <w:bCs/>
          <w:szCs w:val="22"/>
        </w:rPr>
        <w:t xml:space="preserve"> nebylo uskutečnitelné</w:t>
      </w:r>
      <w:r w:rsidR="00A57F72" w:rsidRPr="00FB73CF">
        <w:rPr>
          <w:bCs/>
          <w:szCs w:val="22"/>
        </w:rPr>
        <w:t xml:space="preserve">, současně by finance byly uvolněny nejdříve na jaře 2020, tedy velmi blízko termínu konce první fáze projektu. Možnou alternativou je pak zapracovat projekt </w:t>
      </w:r>
      <w:proofErr w:type="spellStart"/>
      <w:r w:rsidR="00A57F72" w:rsidRPr="00FB73CF">
        <w:rPr>
          <w:bCs/>
          <w:szCs w:val="22"/>
        </w:rPr>
        <w:t>PaRIS</w:t>
      </w:r>
      <w:proofErr w:type="spellEnd"/>
      <w:r w:rsidR="00A57F72" w:rsidRPr="00FB73CF">
        <w:rPr>
          <w:bCs/>
          <w:szCs w:val="22"/>
        </w:rPr>
        <w:t xml:space="preserve"> jako součást obsáhlejšího projektu</w:t>
      </w:r>
      <w:r w:rsidR="00A57F72">
        <w:rPr>
          <w:bCs/>
          <w:szCs w:val="22"/>
        </w:rPr>
        <w:t>, který</w:t>
      </w:r>
      <w:r w:rsidR="00A57F72" w:rsidRPr="00FB73CF">
        <w:rPr>
          <w:bCs/>
          <w:szCs w:val="22"/>
        </w:rPr>
        <w:t xml:space="preserve"> by využíval</w:t>
      </w:r>
      <w:r w:rsidR="00A57F72">
        <w:rPr>
          <w:bCs/>
          <w:szCs w:val="22"/>
        </w:rPr>
        <w:t xml:space="preserve"> expertízu a finance EK a mohl</w:t>
      </w:r>
      <w:r w:rsidR="00A57F72" w:rsidRPr="00FB73CF">
        <w:rPr>
          <w:bCs/>
          <w:szCs w:val="22"/>
        </w:rPr>
        <w:t xml:space="preserve"> by tedy z financí EK</w:t>
      </w:r>
      <w:r w:rsidR="00A57F72">
        <w:rPr>
          <w:bCs/>
          <w:szCs w:val="22"/>
        </w:rPr>
        <w:t xml:space="preserve"> pokrýt i expertízu OECD na jeho</w:t>
      </w:r>
      <w:r w:rsidR="00A57F72" w:rsidRPr="00FB73CF">
        <w:rPr>
          <w:bCs/>
          <w:szCs w:val="22"/>
        </w:rPr>
        <w:t xml:space="preserve"> dílčí část.</w:t>
      </w:r>
      <w:r w:rsidR="00A57F72">
        <w:rPr>
          <w:bCs/>
          <w:szCs w:val="22"/>
        </w:rPr>
        <w:t xml:space="preserve"> </w:t>
      </w:r>
      <w:r>
        <w:rPr>
          <w:bCs/>
        </w:rPr>
        <w:t>Na základě jednání se zástupci EK bude MZ žádat o finanční prostředky příští rok, a to na implementaci fáze dva a tři (pokud se ČR projektu bude dále účastnit).</w:t>
      </w:r>
    </w:p>
    <w:p w14:paraId="242A92BA" w14:textId="77777777" w:rsidR="00A23FB4" w:rsidRPr="00530168" w:rsidRDefault="002D34F2" w:rsidP="00530168">
      <w:pPr>
        <w:spacing w:before="120" w:after="120" w:line="360" w:lineRule="auto"/>
        <w:rPr>
          <w:b/>
          <w:bCs/>
        </w:rPr>
      </w:pPr>
      <w:r w:rsidRPr="00530168">
        <w:rPr>
          <w:b/>
          <w:bCs/>
        </w:rPr>
        <w:t>Hospodářský přehled</w:t>
      </w:r>
    </w:p>
    <w:p w14:paraId="104BADC2" w14:textId="5C934C54" w:rsidR="002D34F2" w:rsidRDefault="002D34F2" w:rsidP="00530168">
      <w:pPr>
        <w:spacing w:before="120" w:after="120" w:line="360" w:lineRule="auto"/>
        <w:rPr>
          <w:bCs/>
        </w:rPr>
      </w:pPr>
      <w:r w:rsidRPr="00530168">
        <w:rPr>
          <w:bCs/>
        </w:rPr>
        <w:t xml:space="preserve">V krátkosti byla rovněž připomenuta zdravotnická kapitola Hospodářského přehledu, která byla zveřejněna v roce 2018 a ke které se na podzim 2018 rovněž uskutečnil seminář. Kapitola obsahuje 9 hlavních a 9 doplňujících doporučení, která jsou do velké míry v souladu s pozicí a strategiemi MZ. Stěžejní informací byla skutečnost, že </w:t>
      </w:r>
      <w:r w:rsidRPr="00DB1293">
        <w:rPr>
          <w:b/>
          <w:bCs/>
        </w:rPr>
        <w:t>na jaře 2020 dojde k vyhodnocování doporučení OECD.</w:t>
      </w:r>
      <w:r w:rsidRPr="00530168">
        <w:rPr>
          <w:bCs/>
        </w:rPr>
        <w:t xml:space="preserve"> MF požádá MZ v této věci o spolupráci (pravděpodobně v březnu 2020).</w:t>
      </w:r>
    </w:p>
    <w:p w14:paraId="19E423A9" w14:textId="77777777" w:rsidR="00DB1293" w:rsidRPr="00530168" w:rsidRDefault="00DB1293" w:rsidP="00530168">
      <w:pPr>
        <w:spacing w:before="120" w:after="120" w:line="360" w:lineRule="auto"/>
        <w:rPr>
          <w:bCs/>
        </w:rPr>
      </w:pPr>
    </w:p>
    <w:p w14:paraId="4255AA31" w14:textId="77777777" w:rsidR="00265FB7" w:rsidRPr="00440B0C" w:rsidRDefault="002D34F2" w:rsidP="00530168">
      <w:pPr>
        <w:spacing w:before="120" w:after="120" w:line="360" w:lineRule="auto"/>
        <w:rPr>
          <w:b/>
          <w:bCs/>
        </w:rPr>
      </w:pPr>
      <w:r w:rsidRPr="00440B0C">
        <w:rPr>
          <w:b/>
          <w:bCs/>
        </w:rPr>
        <w:t>Instrumenty OECD</w:t>
      </w:r>
    </w:p>
    <w:p w14:paraId="6B6EF4E9" w14:textId="07D25D49" w:rsidR="00F110F7" w:rsidRPr="00530168" w:rsidRDefault="002D34F2" w:rsidP="00530168">
      <w:pPr>
        <w:spacing w:before="120" w:after="120" w:line="360" w:lineRule="auto"/>
        <w:rPr>
          <w:szCs w:val="22"/>
        </w:rPr>
      </w:pPr>
      <w:r w:rsidRPr="00530168">
        <w:rPr>
          <w:bCs/>
        </w:rPr>
        <w:lastRenderedPageBreak/>
        <w:t>Účastníci byli dále informován</w:t>
      </w:r>
      <w:r w:rsidR="00C24413">
        <w:rPr>
          <w:bCs/>
        </w:rPr>
        <w:t>i</w:t>
      </w:r>
      <w:r w:rsidRPr="00530168">
        <w:rPr>
          <w:bCs/>
        </w:rPr>
        <w:t xml:space="preserve"> o změnách v gescích tzv. instrumentů OECD. </w:t>
      </w:r>
      <w:r w:rsidR="00F110F7" w:rsidRPr="00530168">
        <w:rPr>
          <w:szCs w:val="22"/>
        </w:rPr>
        <w:t xml:space="preserve">Instrument je souhrnný název pro výstup OECD k plnění stanoveného cíle a může mít formu rozhodnutí, doporučení či uzavření smluv (deklarace, </w:t>
      </w:r>
      <w:r w:rsidR="00440B0C" w:rsidRPr="00530168">
        <w:rPr>
          <w:szCs w:val="22"/>
        </w:rPr>
        <w:t>ujednání</w:t>
      </w:r>
      <w:r w:rsidR="00F110F7" w:rsidRPr="00530168">
        <w:rPr>
          <w:szCs w:val="22"/>
        </w:rPr>
        <w:t xml:space="preserve"> apod.) s členskými i nečlenskými státy a</w:t>
      </w:r>
      <w:r w:rsidR="00440B0C">
        <w:rPr>
          <w:szCs w:val="22"/>
        </w:rPr>
        <w:t> </w:t>
      </w:r>
      <w:r w:rsidR="00F110F7" w:rsidRPr="00530168">
        <w:rPr>
          <w:szCs w:val="22"/>
        </w:rPr>
        <w:t>mezinárodními organizacemi. Instrumenty jsou zpravidla přijímány na základě konsensu všech členů. V oblasti zdravotnictví jsou primárně přijata doporučení, která nejsou závazná. Jedná se o dobrovolný závazek postupovat v dané konkrétní oblasti podle odsouhlasených principů.</w:t>
      </w:r>
    </w:p>
    <w:p w14:paraId="1AB68A0E" w14:textId="2C517FBB" w:rsidR="002D34F2" w:rsidRPr="00530168" w:rsidRDefault="00F110F7" w:rsidP="00530168">
      <w:pPr>
        <w:spacing w:before="120" w:after="120" w:line="360" w:lineRule="auto"/>
        <w:rPr>
          <w:szCs w:val="22"/>
        </w:rPr>
      </w:pPr>
      <w:r w:rsidRPr="00440B0C">
        <w:rPr>
          <w:szCs w:val="22"/>
        </w:rPr>
        <w:t>MZ mělo do roku 2018</w:t>
      </w:r>
      <w:r w:rsidR="00440B0C" w:rsidRPr="00440B0C">
        <w:rPr>
          <w:szCs w:val="22"/>
        </w:rPr>
        <w:t xml:space="preserve"> v gesci</w:t>
      </w:r>
      <w:r w:rsidRPr="00440B0C">
        <w:rPr>
          <w:szCs w:val="22"/>
        </w:rPr>
        <w:t xml:space="preserve"> pouze dvě </w:t>
      </w:r>
      <w:r w:rsidR="00C24413" w:rsidRPr="00440B0C">
        <w:rPr>
          <w:szCs w:val="22"/>
        </w:rPr>
        <w:t>platn</w:t>
      </w:r>
      <w:r w:rsidR="00C24413">
        <w:rPr>
          <w:szCs w:val="22"/>
        </w:rPr>
        <w:t>á</w:t>
      </w:r>
      <w:r w:rsidR="00C24413" w:rsidRPr="00440B0C">
        <w:rPr>
          <w:szCs w:val="22"/>
        </w:rPr>
        <w:t xml:space="preserve"> </w:t>
      </w:r>
      <w:r w:rsidRPr="00440B0C">
        <w:rPr>
          <w:szCs w:val="22"/>
        </w:rPr>
        <w:t xml:space="preserve">doporučení. Konkrétně </w:t>
      </w:r>
      <w:proofErr w:type="spellStart"/>
      <w:r w:rsidRPr="00440B0C">
        <w:rPr>
          <w:szCs w:val="22"/>
        </w:rPr>
        <w:t>Recommendation</w:t>
      </w:r>
      <w:proofErr w:type="spellEnd"/>
      <w:r w:rsidRPr="00440B0C">
        <w:rPr>
          <w:szCs w:val="22"/>
        </w:rPr>
        <w:t xml:space="preserve"> </w:t>
      </w:r>
      <w:proofErr w:type="spellStart"/>
      <w:r w:rsidRPr="00440B0C">
        <w:rPr>
          <w:szCs w:val="22"/>
        </w:rPr>
        <w:t>of</w:t>
      </w:r>
      <w:proofErr w:type="spellEnd"/>
      <w:r w:rsidRPr="00440B0C">
        <w:rPr>
          <w:szCs w:val="22"/>
        </w:rPr>
        <w:t xml:space="preserve"> </w:t>
      </w:r>
      <w:proofErr w:type="spellStart"/>
      <w:r w:rsidRPr="00440B0C">
        <w:rPr>
          <w:szCs w:val="22"/>
        </w:rPr>
        <w:t>the</w:t>
      </w:r>
      <w:proofErr w:type="spellEnd"/>
      <w:r w:rsidRPr="00440B0C">
        <w:rPr>
          <w:szCs w:val="22"/>
        </w:rPr>
        <w:t xml:space="preserve"> </w:t>
      </w:r>
      <w:proofErr w:type="spellStart"/>
      <w:r w:rsidRPr="00440B0C">
        <w:rPr>
          <w:szCs w:val="22"/>
        </w:rPr>
        <w:t>Council</w:t>
      </w:r>
      <w:proofErr w:type="spellEnd"/>
      <w:r w:rsidRPr="00440B0C">
        <w:rPr>
          <w:szCs w:val="22"/>
        </w:rPr>
        <w:t xml:space="preserve"> on </w:t>
      </w:r>
      <w:proofErr w:type="spellStart"/>
      <w:r w:rsidRPr="00440B0C">
        <w:rPr>
          <w:szCs w:val="22"/>
        </w:rPr>
        <w:t>Health</w:t>
      </w:r>
      <w:proofErr w:type="spellEnd"/>
      <w:r w:rsidRPr="00440B0C">
        <w:rPr>
          <w:szCs w:val="22"/>
        </w:rPr>
        <w:t xml:space="preserve"> Data </w:t>
      </w:r>
      <w:proofErr w:type="spellStart"/>
      <w:r w:rsidRPr="00440B0C">
        <w:rPr>
          <w:szCs w:val="22"/>
        </w:rPr>
        <w:t>Governance</w:t>
      </w:r>
      <w:proofErr w:type="spellEnd"/>
      <w:r w:rsidRPr="00440B0C">
        <w:rPr>
          <w:szCs w:val="22"/>
        </w:rPr>
        <w:t xml:space="preserve"> (z roku 2016), které se zabývá zpracováním a</w:t>
      </w:r>
      <w:r w:rsidR="00440B0C" w:rsidRPr="00440B0C">
        <w:rPr>
          <w:szCs w:val="22"/>
        </w:rPr>
        <w:t> </w:t>
      </w:r>
      <w:r w:rsidRPr="00440B0C">
        <w:rPr>
          <w:szCs w:val="22"/>
        </w:rPr>
        <w:t xml:space="preserve">ochranou osobních údajů o zdraví. Doporučení je naplňováno v rámci Národní strategie elektronického zdravotnictví ČR. Druhým doporučením je </w:t>
      </w:r>
      <w:proofErr w:type="spellStart"/>
      <w:r w:rsidRPr="00440B0C">
        <w:rPr>
          <w:szCs w:val="22"/>
        </w:rPr>
        <w:t>Recommendation</w:t>
      </w:r>
      <w:proofErr w:type="spellEnd"/>
      <w:r w:rsidRPr="00440B0C">
        <w:rPr>
          <w:szCs w:val="22"/>
        </w:rPr>
        <w:t xml:space="preserve"> </w:t>
      </w:r>
      <w:proofErr w:type="spellStart"/>
      <w:r w:rsidRPr="00440B0C">
        <w:rPr>
          <w:szCs w:val="22"/>
        </w:rPr>
        <w:t>of</w:t>
      </w:r>
      <w:proofErr w:type="spellEnd"/>
      <w:r w:rsidRPr="00440B0C">
        <w:rPr>
          <w:szCs w:val="22"/>
        </w:rPr>
        <w:t xml:space="preserve"> </w:t>
      </w:r>
      <w:proofErr w:type="spellStart"/>
      <w:r w:rsidRPr="00440B0C">
        <w:rPr>
          <w:szCs w:val="22"/>
        </w:rPr>
        <w:t>the</w:t>
      </w:r>
      <w:proofErr w:type="spellEnd"/>
      <w:r w:rsidRPr="00440B0C">
        <w:rPr>
          <w:szCs w:val="22"/>
        </w:rPr>
        <w:t xml:space="preserve"> </w:t>
      </w:r>
      <w:proofErr w:type="spellStart"/>
      <w:r w:rsidRPr="00440B0C">
        <w:rPr>
          <w:szCs w:val="22"/>
        </w:rPr>
        <w:t>Council</w:t>
      </w:r>
      <w:proofErr w:type="spellEnd"/>
      <w:r w:rsidRPr="00440B0C">
        <w:rPr>
          <w:szCs w:val="22"/>
        </w:rPr>
        <w:t xml:space="preserve"> on </w:t>
      </w:r>
      <w:proofErr w:type="spellStart"/>
      <w:r w:rsidRPr="00440B0C">
        <w:rPr>
          <w:szCs w:val="22"/>
        </w:rPr>
        <w:t>Integrated</w:t>
      </w:r>
      <w:proofErr w:type="spellEnd"/>
      <w:r w:rsidRPr="00440B0C">
        <w:rPr>
          <w:szCs w:val="22"/>
        </w:rPr>
        <w:t xml:space="preserve"> </w:t>
      </w:r>
      <w:proofErr w:type="spellStart"/>
      <w:r w:rsidRPr="00440B0C">
        <w:rPr>
          <w:szCs w:val="22"/>
        </w:rPr>
        <w:t>Mental</w:t>
      </w:r>
      <w:proofErr w:type="spellEnd"/>
      <w:r w:rsidRPr="00440B0C">
        <w:rPr>
          <w:szCs w:val="22"/>
        </w:rPr>
        <w:t xml:space="preserve"> </w:t>
      </w:r>
      <w:proofErr w:type="spellStart"/>
      <w:r w:rsidRPr="00440B0C">
        <w:rPr>
          <w:szCs w:val="22"/>
        </w:rPr>
        <w:t>Health</w:t>
      </w:r>
      <w:proofErr w:type="spellEnd"/>
      <w:r w:rsidRPr="00440B0C">
        <w:rPr>
          <w:szCs w:val="22"/>
        </w:rPr>
        <w:t xml:space="preserve">, </w:t>
      </w:r>
      <w:proofErr w:type="spellStart"/>
      <w:r w:rsidRPr="00440B0C">
        <w:rPr>
          <w:szCs w:val="22"/>
        </w:rPr>
        <w:t>Skills</w:t>
      </w:r>
      <w:proofErr w:type="spellEnd"/>
      <w:r w:rsidRPr="00440B0C">
        <w:rPr>
          <w:szCs w:val="22"/>
        </w:rPr>
        <w:t xml:space="preserve"> and </w:t>
      </w:r>
      <w:proofErr w:type="spellStart"/>
      <w:r w:rsidRPr="00440B0C">
        <w:rPr>
          <w:szCs w:val="22"/>
        </w:rPr>
        <w:t>Work</w:t>
      </w:r>
      <w:proofErr w:type="spellEnd"/>
      <w:r w:rsidRPr="00440B0C">
        <w:rPr>
          <w:szCs w:val="22"/>
        </w:rPr>
        <w:t xml:space="preserve"> </w:t>
      </w:r>
      <w:proofErr w:type="spellStart"/>
      <w:r w:rsidRPr="00440B0C">
        <w:rPr>
          <w:szCs w:val="22"/>
        </w:rPr>
        <w:t>Policy</w:t>
      </w:r>
      <w:proofErr w:type="spellEnd"/>
      <w:r w:rsidRPr="00440B0C">
        <w:rPr>
          <w:szCs w:val="22"/>
        </w:rPr>
        <w:t xml:space="preserve"> (z roku 2015), které vyzývá ke zlepšení systému péče o duševní zdraví a pokrývá čtyři oblasti – (1) zdravotní politiku; (2) vzdělání/mládež; (3) pracovní uplatnění; (4) sociální ochranu</w:t>
      </w:r>
      <w:r w:rsidRPr="00530168">
        <w:rPr>
          <w:szCs w:val="22"/>
        </w:rPr>
        <w:t>. Naplňování za MZ</w:t>
      </w:r>
      <w:r w:rsidR="00C24413">
        <w:rPr>
          <w:szCs w:val="22"/>
        </w:rPr>
        <w:t xml:space="preserve"> probíhá</w:t>
      </w:r>
      <w:r w:rsidRPr="00530168">
        <w:rPr>
          <w:szCs w:val="22"/>
        </w:rPr>
        <w:t xml:space="preserve"> v rámci Strategie reformy psychiatrické péče.</w:t>
      </w:r>
      <w:r w:rsidR="00530168" w:rsidRPr="00530168">
        <w:rPr>
          <w:szCs w:val="22"/>
        </w:rPr>
        <w:t xml:space="preserve"> V současné době dochází ve spolupráci s MŠMT a</w:t>
      </w:r>
      <w:r w:rsidR="00440B0C">
        <w:rPr>
          <w:szCs w:val="22"/>
        </w:rPr>
        <w:t> </w:t>
      </w:r>
      <w:r w:rsidR="00530168" w:rsidRPr="00530168">
        <w:rPr>
          <w:szCs w:val="22"/>
        </w:rPr>
        <w:t>MPSV k vyhodnocení dotazníku</w:t>
      </w:r>
      <w:r w:rsidR="00440B0C">
        <w:rPr>
          <w:szCs w:val="22"/>
        </w:rPr>
        <w:t>, resp. ze strany OECD k vyhodnocení naplňování instrumentu.</w:t>
      </w:r>
    </w:p>
    <w:p w14:paraId="67DAF4DB" w14:textId="4D9DE3FA" w:rsidR="00530168" w:rsidRDefault="00530168" w:rsidP="00530168">
      <w:pPr>
        <w:spacing w:before="120" w:after="120" w:line="360" w:lineRule="auto"/>
        <w:rPr>
          <w:b/>
          <w:bCs/>
        </w:rPr>
      </w:pPr>
      <w:r w:rsidRPr="00530168">
        <w:rPr>
          <w:bCs/>
        </w:rPr>
        <w:t xml:space="preserve">V roce 2018 </w:t>
      </w:r>
      <w:r w:rsidRPr="00530168">
        <w:t>rozhodlo MZV o přezkoumání gesční příslušnosti platných instrumentů OECD ve snaze zahájit nový mechanismu</w:t>
      </w:r>
      <w:r w:rsidR="00C24413">
        <w:t>s</w:t>
      </w:r>
      <w:r w:rsidRPr="00530168">
        <w:t xml:space="preserve"> sledování implementace těchto instrumentů a požádalo MZ (stejně jako jiné resorty) </w:t>
      </w:r>
      <w:r w:rsidR="00C24413">
        <w:t>o</w:t>
      </w:r>
      <w:r w:rsidRPr="00530168">
        <w:t xml:space="preserve"> vyjádření k několika starším instrumentům. </w:t>
      </w:r>
      <w:r w:rsidRPr="00DB1293">
        <w:rPr>
          <w:b/>
        </w:rPr>
        <w:t>MZ následující instrumenty přijalo:</w:t>
      </w:r>
      <w:r>
        <w:t xml:space="preserve"> </w:t>
      </w:r>
      <w:proofErr w:type="spellStart"/>
      <w:r w:rsidR="00265FB7" w:rsidRPr="00530168">
        <w:rPr>
          <w:bCs/>
        </w:rPr>
        <w:t>Recommendation</w:t>
      </w:r>
      <w:proofErr w:type="spellEnd"/>
      <w:r w:rsidR="00265FB7" w:rsidRPr="00530168">
        <w:rPr>
          <w:bCs/>
        </w:rPr>
        <w:t xml:space="preserve"> </w:t>
      </w:r>
      <w:proofErr w:type="spellStart"/>
      <w:r w:rsidR="00265FB7" w:rsidRPr="00530168">
        <w:rPr>
          <w:bCs/>
        </w:rPr>
        <w:t>of</w:t>
      </w:r>
      <w:proofErr w:type="spellEnd"/>
      <w:r w:rsidR="00265FB7" w:rsidRPr="00530168">
        <w:rPr>
          <w:bCs/>
        </w:rPr>
        <w:t xml:space="preserve"> </w:t>
      </w:r>
      <w:proofErr w:type="spellStart"/>
      <w:r w:rsidR="00265FB7" w:rsidRPr="00530168">
        <w:rPr>
          <w:bCs/>
        </w:rPr>
        <w:t>the</w:t>
      </w:r>
      <w:proofErr w:type="spellEnd"/>
      <w:r w:rsidR="00265FB7" w:rsidRPr="00530168">
        <w:rPr>
          <w:bCs/>
        </w:rPr>
        <w:t xml:space="preserve"> </w:t>
      </w:r>
      <w:proofErr w:type="spellStart"/>
      <w:r w:rsidR="00265FB7" w:rsidRPr="00530168">
        <w:rPr>
          <w:bCs/>
        </w:rPr>
        <w:t>Council</w:t>
      </w:r>
      <w:proofErr w:type="spellEnd"/>
      <w:r w:rsidR="00265FB7" w:rsidRPr="00530168">
        <w:rPr>
          <w:bCs/>
        </w:rPr>
        <w:t xml:space="preserve"> on </w:t>
      </w:r>
      <w:proofErr w:type="spellStart"/>
      <w:r w:rsidR="00265FB7" w:rsidRPr="00530168">
        <w:rPr>
          <w:bCs/>
        </w:rPr>
        <w:t>the</w:t>
      </w:r>
      <w:proofErr w:type="spellEnd"/>
      <w:r w:rsidR="00265FB7" w:rsidRPr="00530168">
        <w:rPr>
          <w:bCs/>
        </w:rPr>
        <w:t xml:space="preserve"> </w:t>
      </w:r>
      <w:proofErr w:type="spellStart"/>
      <w:r w:rsidR="00265FB7" w:rsidRPr="00530168">
        <w:rPr>
          <w:bCs/>
        </w:rPr>
        <w:t>Governance</w:t>
      </w:r>
      <w:proofErr w:type="spellEnd"/>
      <w:r w:rsidR="00265FB7" w:rsidRPr="00530168">
        <w:rPr>
          <w:bCs/>
        </w:rPr>
        <w:t xml:space="preserve"> </w:t>
      </w:r>
      <w:proofErr w:type="spellStart"/>
      <w:r w:rsidR="00265FB7" w:rsidRPr="00530168">
        <w:rPr>
          <w:bCs/>
        </w:rPr>
        <w:t>of</w:t>
      </w:r>
      <w:proofErr w:type="spellEnd"/>
      <w:r w:rsidR="00265FB7" w:rsidRPr="00530168">
        <w:rPr>
          <w:bCs/>
        </w:rPr>
        <w:t xml:space="preserve"> </w:t>
      </w:r>
      <w:proofErr w:type="spellStart"/>
      <w:r w:rsidR="00265FB7" w:rsidRPr="00530168">
        <w:rPr>
          <w:bCs/>
        </w:rPr>
        <w:t>Clinical</w:t>
      </w:r>
      <w:proofErr w:type="spellEnd"/>
      <w:r w:rsidR="00265FB7" w:rsidRPr="00530168">
        <w:rPr>
          <w:bCs/>
        </w:rPr>
        <w:t xml:space="preserve"> </w:t>
      </w:r>
      <w:proofErr w:type="spellStart"/>
      <w:r w:rsidR="00265FB7" w:rsidRPr="00530168">
        <w:rPr>
          <w:bCs/>
        </w:rPr>
        <w:t>Trials</w:t>
      </w:r>
      <w:proofErr w:type="spellEnd"/>
      <w:r w:rsidR="00265FB7" w:rsidRPr="00530168">
        <w:rPr>
          <w:bCs/>
        </w:rPr>
        <w:t xml:space="preserve"> (2012</w:t>
      </w:r>
      <w:r w:rsidRPr="00530168">
        <w:rPr>
          <w:bCs/>
        </w:rPr>
        <w:t xml:space="preserve">, v gesci MŠMT, </w:t>
      </w:r>
      <w:proofErr w:type="spellStart"/>
      <w:r w:rsidRPr="00530168">
        <w:rPr>
          <w:bCs/>
        </w:rPr>
        <w:t>spolugesce</w:t>
      </w:r>
      <w:proofErr w:type="spellEnd"/>
      <w:r w:rsidRPr="00530168">
        <w:rPr>
          <w:bCs/>
        </w:rPr>
        <w:t xml:space="preserve"> MZ/SÚKL); </w:t>
      </w:r>
      <w:proofErr w:type="spellStart"/>
      <w:r w:rsidRPr="00530168">
        <w:rPr>
          <w:bCs/>
        </w:rPr>
        <w:t>Recommendation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of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the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Council</w:t>
      </w:r>
      <w:proofErr w:type="spellEnd"/>
      <w:r w:rsidRPr="00530168">
        <w:rPr>
          <w:bCs/>
        </w:rPr>
        <w:t xml:space="preserve"> on </w:t>
      </w:r>
      <w:proofErr w:type="spellStart"/>
      <w:r w:rsidRPr="00530168">
        <w:rPr>
          <w:bCs/>
        </w:rPr>
        <w:t>Quality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Assurance</w:t>
      </w:r>
      <w:proofErr w:type="spellEnd"/>
      <w:r w:rsidRPr="00530168">
        <w:rPr>
          <w:bCs/>
        </w:rPr>
        <w:t xml:space="preserve"> in </w:t>
      </w:r>
      <w:proofErr w:type="spellStart"/>
      <w:r w:rsidRPr="00530168">
        <w:rPr>
          <w:bCs/>
        </w:rPr>
        <w:t>Molecular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Genetic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Testing</w:t>
      </w:r>
      <w:proofErr w:type="spellEnd"/>
      <w:r w:rsidRPr="00530168">
        <w:rPr>
          <w:bCs/>
        </w:rPr>
        <w:t xml:space="preserve"> (2007, gesce MZ); </w:t>
      </w:r>
      <w:proofErr w:type="spellStart"/>
      <w:r w:rsidRPr="00530168">
        <w:rPr>
          <w:bCs/>
        </w:rPr>
        <w:t>Decision-Recommendation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of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the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Council</w:t>
      </w:r>
      <w:proofErr w:type="spellEnd"/>
      <w:r w:rsidRPr="00530168">
        <w:rPr>
          <w:bCs/>
        </w:rPr>
        <w:t xml:space="preserve"> on </w:t>
      </w:r>
      <w:proofErr w:type="spellStart"/>
      <w:r w:rsidRPr="00530168">
        <w:rPr>
          <w:bCs/>
        </w:rPr>
        <w:t>Compliance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with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Principles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of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Good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Laboratory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Practice</w:t>
      </w:r>
      <w:proofErr w:type="spellEnd"/>
      <w:r w:rsidRPr="00530168">
        <w:rPr>
          <w:bCs/>
        </w:rPr>
        <w:t xml:space="preserve"> (1989, gesce MŽP, </w:t>
      </w:r>
      <w:proofErr w:type="spellStart"/>
      <w:r w:rsidRPr="00530168">
        <w:rPr>
          <w:bCs/>
        </w:rPr>
        <w:t>spolugesce</w:t>
      </w:r>
      <w:proofErr w:type="spellEnd"/>
      <w:r w:rsidRPr="00530168">
        <w:rPr>
          <w:bCs/>
        </w:rPr>
        <w:t xml:space="preserve"> MZ); </w:t>
      </w:r>
      <w:proofErr w:type="spellStart"/>
      <w:r w:rsidRPr="00530168">
        <w:rPr>
          <w:bCs/>
        </w:rPr>
        <w:t>Decision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of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the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Council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concerning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the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Mutual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Acceptance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of</w:t>
      </w:r>
      <w:proofErr w:type="spellEnd"/>
      <w:r w:rsidRPr="00530168">
        <w:rPr>
          <w:bCs/>
        </w:rPr>
        <w:t xml:space="preserve"> Data in </w:t>
      </w:r>
      <w:proofErr w:type="spellStart"/>
      <w:r w:rsidRPr="00530168">
        <w:rPr>
          <w:bCs/>
        </w:rPr>
        <w:t>the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Assessment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of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Chemicals</w:t>
      </w:r>
      <w:proofErr w:type="spellEnd"/>
      <w:r w:rsidRPr="00530168">
        <w:rPr>
          <w:bCs/>
        </w:rPr>
        <w:t xml:space="preserve"> (1981, gesce MŽP, </w:t>
      </w:r>
      <w:proofErr w:type="spellStart"/>
      <w:r w:rsidRPr="00530168">
        <w:rPr>
          <w:bCs/>
        </w:rPr>
        <w:t>spolugesce</w:t>
      </w:r>
      <w:proofErr w:type="spellEnd"/>
      <w:r w:rsidRPr="00530168">
        <w:rPr>
          <w:bCs/>
        </w:rPr>
        <w:t xml:space="preserve"> MZ); </w:t>
      </w:r>
      <w:proofErr w:type="spellStart"/>
      <w:r w:rsidRPr="00530168">
        <w:rPr>
          <w:bCs/>
        </w:rPr>
        <w:t>Recommendation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of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the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Council</w:t>
      </w:r>
      <w:proofErr w:type="spellEnd"/>
      <w:r w:rsidRPr="00530168">
        <w:rPr>
          <w:bCs/>
        </w:rPr>
        <w:t xml:space="preserve"> on </w:t>
      </w:r>
      <w:proofErr w:type="spellStart"/>
      <w:r w:rsidRPr="00530168">
        <w:rPr>
          <w:bCs/>
        </w:rPr>
        <w:t>Measures</w:t>
      </w:r>
      <w:proofErr w:type="spellEnd"/>
      <w:r w:rsidRPr="00530168">
        <w:rPr>
          <w:bCs/>
        </w:rPr>
        <w:t xml:space="preserve"> to </w:t>
      </w:r>
      <w:proofErr w:type="spellStart"/>
      <w:r w:rsidRPr="00530168">
        <w:rPr>
          <w:bCs/>
        </w:rPr>
        <w:t>Reduce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all</w:t>
      </w:r>
      <w:proofErr w:type="spellEnd"/>
      <w:r w:rsidRPr="00530168">
        <w:rPr>
          <w:bCs/>
        </w:rPr>
        <w:t xml:space="preserve"> Man-Made </w:t>
      </w:r>
      <w:proofErr w:type="spellStart"/>
      <w:r w:rsidRPr="00530168">
        <w:rPr>
          <w:bCs/>
        </w:rPr>
        <w:t>Emissions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of</w:t>
      </w:r>
      <w:proofErr w:type="spellEnd"/>
      <w:r w:rsidRPr="00530168">
        <w:rPr>
          <w:bCs/>
        </w:rPr>
        <w:t xml:space="preserve"> Mercury to </w:t>
      </w:r>
      <w:proofErr w:type="spellStart"/>
      <w:r w:rsidRPr="00530168">
        <w:rPr>
          <w:bCs/>
        </w:rPr>
        <w:t>the</w:t>
      </w:r>
      <w:proofErr w:type="spellEnd"/>
      <w:r w:rsidRPr="00530168">
        <w:rPr>
          <w:bCs/>
        </w:rPr>
        <w:t xml:space="preserve"> </w:t>
      </w:r>
      <w:proofErr w:type="spellStart"/>
      <w:r w:rsidRPr="00530168">
        <w:rPr>
          <w:bCs/>
        </w:rPr>
        <w:t>Environment</w:t>
      </w:r>
      <w:proofErr w:type="spellEnd"/>
      <w:r w:rsidRPr="00530168">
        <w:rPr>
          <w:bCs/>
        </w:rPr>
        <w:t xml:space="preserve"> (1973, gesce MŽP, </w:t>
      </w:r>
      <w:proofErr w:type="spellStart"/>
      <w:r w:rsidRPr="00530168">
        <w:rPr>
          <w:bCs/>
        </w:rPr>
        <w:t>spolugesce</w:t>
      </w:r>
      <w:proofErr w:type="spellEnd"/>
      <w:r w:rsidRPr="00530168">
        <w:rPr>
          <w:bCs/>
        </w:rPr>
        <w:t xml:space="preserve"> MZ)</w:t>
      </w:r>
    </w:p>
    <w:p w14:paraId="55F0511F" w14:textId="77777777" w:rsidR="00265FB7" w:rsidRPr="00530168" w:rsidRDefault="00530168" w:rsidP="00530168">
      <w:pPr>
        <w:spacing w:before="120" w:after="120" w:line="360" w:lineRule="auto"/>
        <w:rPr>
          <w:szCs w:val="22"/>
        </w:rPr>
      </w:pPr>
      <w:r w:rsidRPr="00440B0C">
        <w:rPr>
          <w:szCs w:val="22"/>
        </w:rPr>
        <w:t>Pro úplnost bylo poznamenáno, že n</w:t>
      </w:r>
      <w:r w:rsidR="00265FB7" w:rsidRPr="00440B0C">
        <w:rPr>
          <w:szCs w:val="22"/>
        </w:rPr>
        <w:t xml:space="preserve">ad rámec těchto instrumentů přijímá Sekretariát </w:t>
      </w:r>
      <w:r w:rsidRPr="00440B0C">
        <w:rPr>
          <w:szCs w:val="22"/>
        </w:rPr>
        <w:t>HC</w:t>
      </w:r>
      <w:r w:rsidR="00265FB7" w:rsidRPr="00440B0C">
        <w:rPr>
          <w:szCs w:val="22"/>
        </w:rPr>
        <w:t xml:space="preserve"> doporučení, jejichž politická váha je nižší než v případě instrumentů Rady OECD. </w:t>
      </w:r>
      <w:r w:rsidR="00265FB7" w:rsidRPr="00530168">
        <w:rPr>
          <w:szCs w:val="22"/>
        </w:rPr>
        <w:t xml:space="preserve">Tato doporučení jsou zpravidla obsažena v jednotlivých publikacích OECD či zvláštních analýzách. Tyto výstupy buď porovnávají stav v jednotlivých členských zemích OECD, nebo jsou přímo cíleny na konkrétní zemi / téma. Tato doporučení jsou zpravidla založena na metodě doporučení nejlepší praxe (příkladů </w:t>
      </w:r>
      <w:proofErr w:type="spellStart"/>
      <w:r w:rsidR="00265FB7" w:rsidRPr="00530168">
        <w:rPr>
          <w:szCs w:val="22"/>
        </w:rPr>
        <w:t>best</w:t>
      </w:r>
      <w:proofErr w:type="spellEnd"/>
      <w:r w:rsidR="00265FB7" w:rsidRPr="00530168">
        <w:rPr>
          <w:szCs w:val="22"/>
        </w:rPr>
        <w:t xml:space="preserve"> </w:t>
      </w:r>
      <w:proofErr w:type="spellStart"/>
      <w:r w:rsidR="00265FB7" w:rsidRPr="00530168">
        <w:rPr>
          <w:szCs w:val="22"/>
        </w:rPr>
        <w:t>practices</w:t>
      </w:r>
      <w:proofErr w:type="spellEnd"/>
      <w:r w:rsidR="00265FB7" w:rsidRPr="00530168">
        <w:rPr>
          <w:szCs w:val="22"/>
        </w:rPr>
        <w:t xml:space="preserve"> z členských zemí). </w:t>
      </w:r>
    </w:p>
    <w:p w14:paraId="7F64EAC0" w14:textId="77777777" w:rsidR="00265FB7" w:rsidRPr="00530168" w:rsidRDefault="00530168" w:rsidP="00530168">
      <w:pPr>
        <w:spacing w:line="360" w:lineRule="auto"/>
        <w:rPr>
          <w:b/>
          <w:bCs/>
        </w:rPr>
      </w:pPr>
      <w:r w:rsidRPr="00530168">
        <w:rPr>
          <w:b/>
          <w:bCs/>
        </w:rPr>
        <w:t>Diskuze</w:t>
      </w:r>
    </w:p>
    <w:p w14:paraId="5D8EB572" w14:textId="10953751" w:rsidR="00530168" w:rsidRPr="00064A94" w:rsidRDefault="00530168" w:rsidP="00064A94">
      <w:pPr>
        <w:spacing w:before="120" w:after="120" w:line="360" w:lineRule="auto"/>
        <w:rPr>
          <w:bCs/>
        </w:rPr>
      </w:pPr>
      <w:r w:rsidRPr="00064A94">
        <w:rPr>
          <w:bCs/>
        </w:rPr>
        <w:lastRenderedPageBreak/>
        <w:t xml:space="preserve">Posledním bodem jednání byla diskuze. Členové PS OECD byli požádáni o </w:t>
      </w:r>
      <w:r w:rsidRPr="00DB1293">
        <w:rPr>
          <w:b/>
          <w:bCs/>
        </w:rPr>
        <w:t>stanovení prioritních témat,</w:t>
      </w:r>
      <w:r w:rsidRPr="00064A94">
        <w:rPr>
          <w:bCs/>
        </w:rPr>
        <w:t xml:space="preserve"> ve kterých je z pohledu MZ vhodné využít expertízu OECD. Záměrem MZ by mělo být s ohledem na omezené kapacity </w:t>
      </w:r>
      <w:r w:rsidR="00440B0C">
        <w:rPr>
          <w:bCs/>
        </w:rPr>
        <w:t xml:space="preserve">se </w:t>
      </w:r>
      <w:r w:rsidRPr="00064A94">
        <w:rPr>
          <w:bCs/>
        </w:rPr>
        <w:t xml:space="preserve">věnovat pouze </w:t>
      </w:r>
      <w:r w:rsidR="00440B0C">
        <w:rPr>
          <w:bCs/>
        </w:rPr>
        <w:t>úzkému</w:t>
      </w:r>
      <w:r w:rsidRPr="00064A94">
        <w:rPr>
          <w:bCs/>
        </w:rPr>
        <w:t xml:space="preserve"> okruh</w:t>
      </w:r>
      <w:r w:rsidR="00440B0C">
        <w:rPr>
          <w:bCs/>
        </w:rPr>
        <w:t>u</w:t>
      </w:r>
      <w:r w:rsidRPr="00064A94">
        <w:rPr>
          <w:bCs/>
        </w:rPr>
        <w:t xml:space="preserve"> témat OECD</w:t>
      </w:r>
      <w:r w:rsidR="00440B0C">
        <w:rPr>
          <w:bCs/>
        </w:rPr>
        <w:t>,</w:t>
      </w:r>
      <w:r w:rsidR="00064A94" w:rsidRPr="00064A94">
        <w:rPr>
          <w:bCs/>
        </w:rPr>
        <w:t xml:space="preserve"> ve kterých by </w:t>
      </w:r>
      <w:r w:rsidR="00982DA0">
        <w:rPr>
          <w:bCs/>
        </w:rPr>
        <w:t xml:space="preserve">MZ </w:t>
      </w:r>
      <w:r w:rsidR="00064A94" w:rsidRPr="00064A94">
        <w:rPr>
          <w:bCs/>
        </w:rPr>
        <w:t>byl</w:t>
      </w:r>
      <w:r w:rsidR="00982DA0">
        <w:rPr>
          <w:bCs/>
        </w:rPr>
        <w:t>o</w:t>
      </w:r>
      <w:r w:rsidR="00064A94" w:rsidRPr="00064A94">
        <w:rPr>
          <w:bCs/>
        </w:rPr>
        <w:t xml:space="preserve"> </w:t>
      </w:r>
      <w:r w:rsidRPr="00064A94">
        <w:rPr>
          <w:bCs/>
        </w:rPr>
        <w:t>ve vztahu vůči Sekretariátu aktivnější, ať už formou připomínek, nebo osobní účastí expertů na jednání</w:t>
      </w:r>
      <w:r w:rsidR="00064A94" w:rsidRPr="00064A94">
        <w:rPr>
          <w:bCs/>
        </w:rPr>
        <w:t xml:space="preserve"> (případně</w:t>
      </w:r>
      <w:r w:rsidR="00761B67">
        <w:rPr>
          <w:bCs/>
        </w:rPr>
        <w:t xml:space="preserve"> ve</w:t>
      </w:r>
      <w:r w:rsidR="00064A94" w:rsidRPr="00064A94">
        <w:rPr>
          <w:bCs/>
        </w:rPr>
        <w:t xml:space="preserve"> zvláštních skupin</w:t>
      </w:r>
      <w:r w:rsidR="00761B67">
        <w:rPr>
          <w:bCs/>
        </w:rPr>
        <w:t>ách</w:t>
      </w:r>
      <w:r w:rsidR="00064A94" w:rsidRPr="00064A94">
        <w:rPr>
          <w:bCs/>
        </w:rPr>
        <w:t>)</w:t>
      </w:r>
      <w:r w:rsidRPr="00064A94">
        <w:rPr>
          <w:bCs/>
        </w:rPr>
        <w:t xml:space="preserve">. Bude-li to opodstatněné, lze požádat vedení MZ o zaslání vázaného finančního daru na konkrétní projekt a tím svůj zájem o </w:t>
      </w:r>
      <w:r w:rsidR="00064A94" w:rsidRPr="00064A94">
        <w:rPr>
          <w:bCs/>
        </w:rPr>
        <w:t>tuto</w:t>
      </w:r>
      <w:r w:rsidRPr="00064A94">
        <w:rPr>
          <w:bCs/>
        </w:rPr>
        <w:t xml:space="preserve"> oblast nejen zviditelnit, ale být i pro Sekretariát silnějším partnerem, a tedy do jisté míry být zapojen i do úpravy projektu</w:t>
      </w:r>
      <w:r w:rsidR="00064A94" w:rsidRPr="00064A94">
        <w:rPr>
          <w:bCs/>
        </w:rPr>
        <w:t>. Členové PS OECD byli vyzváni, aby zvážili priority, které by mělo MZ vůči OECD mít.</w:t>
      </w:r>
      <w:r w:rsidR="00761B67">
        <w:rPr>
          <w:bCs/>
        </w:rPr>
        <w:t xml:space="preserve"> Odbor MEZ nabízí plnou součinnost při poskytnutí podrobnějších podkladů k uvedeným okruhům zájmů OECD či při oslovování Sekretariátu.</w:t>
      </w:r>
    </w:p>
    <w:p w14:paraId="46D3AD42" w14:textId="38F877B1" w:rsidR="0024352B" w:rsidRDefault="00064A94" w:rsidP="00064A94">
      <w:pPr>
        <w:spacing w:before="120" w:after="120" w:line="360" w:lineRule="auto"/>
        <w:rPr>
          <w:bCs/>
        </w:rPr>
      </w:pPr>
      <w:r w:rsidRPr="00064A94">
        <w:rPr>
          <w:bCs/>
        </w:rPr>
        <w:t xml:space="preserve">Druhým bodem </w:t>
      </w:r>
      <w:r>
        <w:rPr>
          <w:bCs/>
        </w:rPr>
        <w:t xml:space="preserve">diskuze byla </w:t>
      </w:r>
      <w:r w:rsidRPr="00DB1293">
        <w:rPr>
          <w:b/>
          <w:bCs/>
        </w:rPr>
        <w:t>otázka gestorství</w:t>
      </w:r>
      <w:r w:rsidRPr="00064A94">
        <w:rPr>
          <w:bCs/>
        </w:rPr>
        <w:t>. Bylo vyzdviženo, že se v současné době daří pokrýt téměř všechna jednání HC a je</w:t>
      </w:r>
      <w:r w:rsidR="00982DA0">
        <w:rPr>
          <w:bCs/>
        </w:rPr>
        <w:t>ho</w:t>
      </w:r>
      <w:r w:rsidRPr="00064A94">
        <w:rPr>
          <w:bCs/>
        </w:rPr>
        <w:t xml:space="preserve"> podskupin. Agenda jednání jednotlivých pracovních skupin často přesahuje gesční příslušnost vyslaných zástupců MZ. Proto je potřeba také příprava kvalitní instrukce na jednání. Přítomnost zástupců MZ je na jednání důležitá z hlediska kontinuální</w:t>
      </w:r>
      <w:r w:rsidR="00982DA0">
        <w:rPr>
          <w:bCs/>
        </w:rPr>
        <w:t>ho</w:t>
      </w:r>
      <w:r w:rsidRPr="00064A94">
        <w:rPr>
          <w:bCs/>
        </w:rPr>
        <w:t xml:space="preserve"> sledování dění v OECD a také</w:t>
      </w:r>
      <w:r w:rsidR="00374C1A">
        <w:rPr>
          <w:bCs/>
        </w:rPr>
        <w:t xml:space="preserve"> jako příležitost</w:t>
      </w:r>
      <w:r w:rsidRPr="00064A94">
        <w:rPr>
          <w:bCs/>
        </w:rPr>
        <w:t xml:space="preserve"> zasahov</w:t>
      </w:r>
      <w:r w:rsidR="00374C1A">
        <w:rPr>
          <w:bCs/>
        </w:rPr>
        <w:t>at</w:t>
      </w:r>
      <w:r w:rsidRPr="00064A94">
        <w:rPr>
          <w:bCs/>
        </w:rPr>
        <w:t xml:space="preserve"> do konkrétní problematiky. Je na gesčních útvarech, aby nominoval</w:t>
      </w:r>
      <w:r w:rsidR="00982DA0">
        <w:rPr>
          <w:bCs/>
        </w:rPr>
        <w:t>y</w:t>
      </w:r>
      <w:r w:rsidRPr="00064A94">
        <w:rPr>
          <w:bCs/>
        </w:rPr>
        <w:t xml:space="preserve"> svého zástupce, který pokryje zájmová témata, v případě konkrétního tématu je možné vysílat i experta</w:t>
      </w:r>
      <w:r w:rsidR="00982DA0">
        <w:rPr>
          <w:bCs/>
        </w:rPr>
        <w:t xml:space="preserve"> mimo MZ</w:t>
      </w:r>
      <w:r w:rsidRPr="00064A94">
        <w:rPr>
          <w:bCs/>
        </w:rPr>
        <w:t>.</w:t>
      </w:r>
      <w:r>
        <w:rPr>
          <w:bCs/>
        </w:rPr>
        <w:t xml:space="preserve"> SÚKL připomněl, že vedle zmíněných pracovních skupin spolupracuje SÚKL také s </w:t>
      </w:r>
      <w:r w:rsidR="00374C1A">
        <w:rPr>
          <w:bCs/>
        </w:rPr>
        <w:t>P</w:t>
      </w:r>
      <w:r>
        <w:rPr>
          <w:bCs/>
        </w:rPr>
        <w:t>racovní skupinou ke správné laboratorní praxi</w:t>
      </w:r>
      <w:r w:rsidR="0024352B">
        <w:rPr>
          <w:bCs/>
        </w:rPr>
        <w:t xml:space="preserve"> (</w:t>
      </w:r>
      <w:proofErr w:type="spellStart"/>
      <w:r w:rsidR="0024352B" w:rsidRPr="0024352B">
        <w:rPr>
          <w:bCs/>
        </w:rPr>
        <w:t>Working</w:t>
      </w:r>
      <w:proofErr w:type="spellEnd"/>
      <w:r w:rsidR="0024352B" w:rsidRPr="0024352B">
        <w:rPr>
          <w:bCs/>
        </w:rPr>
        <w:t xml:space="preserve"> Group on </w:t>
      </w:r>
      <w:proofErr w:type="spellStart"/>
      <w:r w:rsidR="0024352B" w:rsidRPr="0024352B">
        <w:rPr>
          <w:bCs/>
        </w:rPr>
        <w:t>Good</w:t>
      </w:r>
      <w:proofErr w:type="spellEnd"/>
      <w:r w:rsidR="0024352B" w:rsidRPr="0024352B">
        <w:rPr>
          <w:bCs/>
        </w:rPr>
        <w:t xml:space="preserve"> </w:t>
      </w:r>
      <w:proofErr w:type="spellStart"/>
      <w:r w:rsidR="0024352B" w:rsidRPr="0024352B">
        <w:rPr>
          <w:bCs/>
        </w:rPr>
        <w:t>Laboratory</w:t>
      </w:r>
      <w:proofErr w:type="spellEnd"/>
      <w:r w:rsidR="0024352B" w:rsidRPr="0024352B">
        <w:rPr>
          <w:bCs/>
        </w:rPr>
        <w:t xml:space="preserve"> </w:t>
      </w:r>
      <w:proofErr w:type="spellStart"/>
      <w:r w:rsidR="0024352B" w:rsidRPr="0024352B">
        <w:rPr>
          <w:bCs/>
        </w:rPr>
        <w:t>Practice</w:t>
      </w:r>
      <w:proofErr w:type="spellEnd"/>
      <w:r w:rsidR="0024352B">
        <w:rPr>
          <w:bCs/>
        </w:rPr>
        <w:t>)</w:t>
      </w:r>
      <w:r>
        <w:rPr>
          <w:bCs/>
        </w:rPr>
        <w:t>.</w:t>
      </w:r>
      <w:r w:rsidR="0024352B">
        <w:rPr>
          <w:bCs/>
        </w:rPr>
        <w:t xml:space="preserve"> OZP</w:t>
      </w:r>
      <w:r w:rsidR="00160F24">
        <w:rPr>
          <w:bCs/>
        </w:rPr>
        <w:t xml:space="preserve"> </w:t>
      </w:r>
      <w:r w:rsidR="00427107">
        <w:rPr>
          <w:bCs/>
        </w:rPr>
        <w:t xml:space="preserve">v této souvislosti zmínil, že jednání jsou primárně zaměřena na </w:t>
      </w:r>
      <w:r w:rsidR="00761B67">
        <w:rPr>
          <w:bCs/>
        </w:rPr>
        <w:t>statistiku,</w:t>
      </w:r>
      <w:r w:rsidR="00427107">
        <w:rPr>
          <w:bCs/>
        </w:rPr>
        <w:t xml:space="preserve"> a nikoliv na věcnou stránku problematiky</w:t>
      </w:r>
      <w:r w:rsidR="00043B0D">
        <w:rPr>
          <w:bCs/>
        </w:rPr>
        <w:t>, ú</w:t>
      </w:r>
      <w:r w:rsidR="00427107">
        <w:rPr>
          <w:bCs/>
        </w:rPr>
        <w:t>čast zástupců za MZ</w:t>
      </w:r>
      <w:r w:rsidR="00043B0D">
        <w:rPr>
          <w:bCs/>
        </w:rPr>
        <w:t xml:space="preserve"> tudíž</w:t>
      </w:r>
      <w:r w:rsidR="00427107">
        <w:rPr>
          <w:bCs/>
        </w:rPr>
        <w:t xml:space="preserve"> nemusí být vždy relevantní. Jedná se primárně o skupinu HCQO. Odbor MEZ podotkl snahu o kontinuální sledování problematiky a na provázanost statistik s následnými opatřeními, </w:t>
      </w:r>
      <w:r w:rsidR="00043B0D">
        <w:rPr>
          <w:bCs/>
        </w:rPr>
        <w:t xml:space="preserve">v případě HCQO bylo připomenuto současné funkční spojení, kdy na jednání jezdí zástupce ÚZIS a OZP. Na základě agendy jednání lze nominovat experta, který se ke konkrétním bodům může detailněji na jednání vyjádřit, nicméně primárně </w:t>
      </w:r>
      <w:r w:rsidR="00761B67">
        <w:rPr>
          <w:bCs/>
        </w:rPr>
        <w:t>je vítána</w:t>
      </w:r>
      <w:r w:rsidR="00043B0D">
        <w:rPr>
          <w:bCs/>
        </w:rPr>
        <w:t xml:space="preserve"> účast zástupců MZ. OZP v případě nominování na workshop </w:t>
      </w:r>
      <w:r w:rsidR="00043B0D" w:rsidRPr="00D9516D">
        <w:rPr>
          <w:bCs/>
        </w:rPr>
        <w:t xml:space="preserve">International Expert workshop on </w:t>
      </w:r>
      <w:proofErr w:type="spellStart"/>
      <w:r w:rsidR="00043B0D" w:rsidRPr="00D9516D">
        <w:rPr>
          <w:bCs/>
        </w:rPr>
        <w:t>Recent</w:t>
      </w:r>
      <w:proofErr w:type="spellEnd"/>
      <w:r w:rsidR="00043B0D" w:rsidRPr="00D9516D">
        <w:rPr>
          <w:bCs/>
        </w:rPr>
        <w:t xml:space="preserve"> </w:t>
      </w:r>
      <w:proofErr w:type="spellStart"/>
      <w:r w:rsidR="00043B0D" w:rsidRPr="00D9516D">
        <w:rPr>
          <w:bCs/>
        </w:rPr>
        <w:t>Trends</w:t>
      </w:r>
      <w:proofErr w:type="spellEnd"/>
      <w:r w:rsidR="00043B0D" w:rsidRPr="00D9516D">
        <w:rPr>
          <w:bCs/>
        </w:rPr>
        <w:t xml:space="preserve"> in </w:t>
      </w:r>
      <w:proofErr w:type="spellStart"/>
      <w:r w:rsidR="00043B0D" w:rsidRPr="00D9516D">
        <w:rPr>
          <w:bCs/>
        </w:rPr>
        <w:t>Cardiovascular</w:t>
      </w:r>
      <w:proofErr w:type="spellEnd"/>
      <w:r w:rsidR="00043B0D" w:rsidRPr="00D9516D">
        <w:rPr>
          <w:bCs/>
        </w:rPr>
        <w:t xml:space="preserve"> </w:t>
      </w:r>
      <w:proofErr w:type="spellStart"/>
      <w:r w:rsidR="00043B0D" w:rsidRPr="00D9516D">
        <w:rPr>
          <w:bCs/>
        </w:rPr>
        <w:t>Disease</w:t>
      </w:r>
      <w:proofErr w:type="spellEnd"/>
      <w:r w:rsidR="00043B0D" w:rsidRPr="00D9516D">
        <w:rPr>
          <w:bCs/>
        </w:rPr>
        <w:t xml:space="preserve"> Mortality</w:t>
      </w:r>
      <w:r w:rsidR="00043B0D">
        <w:rPr>
          <w:bCs/>
        </w:rPr>
        <w:t xml:space="preserve"> (6. 11.) zmínil neochotu expertů se jednání zúčastnit. MEZ nabídl součinnost při předání podrobnějších informací o setkání,</w:t>
      </w:r>
      <w:r w:rsidR="00374C1A">
        <w:rPr>
          <w:bCs/>
        </w:rPr>
        <w:t xml:space="preserve"> což by mohlo vést k zájmu se </w:t>
      </w:r>
      <w:proofErr w:type="spellStart"/>
      <w:r w:rsidR="00374C1A">
        <w:rPr>
          <w:bCs/>
        </w:rPr>
        <w:t>wokrshopu</w:t>
      </w:r>
      <w:proofErr w:type="spellEnd"/>
      <w:r w:rsidR="00374C1A">
        <w:rPr>
          <w:bCs/>
        </w:rPr>
        <w:t xml:space="preserve"> zúčastnit.</w:t>
      </w:r>
      <w:r w:rsidR="00043B0D">
        <w:rPr>
          <w:bCs/>
        </w:rPr>
        <w:t xml:space="preserve"> </w:t>
      </w:r>
      <w:r w:rsidR="00374C1A">
        <w:rPr>
          <w:bCs/>
        </w:rPr>
        <w:t xml:space="preserve">V opačném případě se </w:t>
      </w:r>
      <w:r w:rsidR="00043B0D">
        <w:rPr>
          <w:bCs/>
        </w:rPr>
        <w:t xml:space="preserve">jednání zúčastní pouze </w:t>
      </w:r>
      <w:r w:rsidR="00043B0D" w:rsidRPr="009D7856">
        <w:rPr>
          <w:bCs/>
        </w:rPr>
        <w:t>J</w:t>
      </w:r>
      <w:r w:rsidR="00800290">
        <w:rPr>
          <w:bCs/>
        </w:rPr>
        <w:t>.</w:t>
      </w:r>
      <w:r w:rsidR="00043B0D" w:rsidRPr="009D7856">
        <w:rPr>
          <w:bCs/>
        </w:rPr>
        <w:t xml:space="preserve"> Jarkovský</w:t>
      </w:r>
      <w:r w:rsidR="00800290">
        <w:rPr>
          <w:bCs/>
        </w:rPr>
        <w:t>,</w:t>
      </w:r>
      <w:r w:rsidR="00043B0D">
        <w:rPr>
          <w:bCs/>
        </w:rPr>
        <w:t xml:space="preserve"> kterého nominoval ÚZIS.</w:t>
      </w:r>
      <w:r w:rsidR="00374C1A">
        <w:rPr>
          <w:bCs/>
        </w:rPr>
        <w:t xml:space="preserve"> MEZ dále přijal </w:t>
      </w:r>
      <w:r w:rsidR="00761B67">
        <w:rPr>
          <w:bCs/>
        </w:rPr>
        <w:t xml:space="preserve">návrh OZP </w:t>
      </w:r>
      <w:r w:rsidR="00374C1A">
        <w:rPr>
          <w:bCs/>
        </w:rPr>
        <w:t xml:space="preserve">vystoupit na jednání </w:t>
      </w:r>
      <w:r w:rsidR="00374C1A" w:rsidRPr="00374C1A">
        <w:rPr>
          <w:bCs/>
        </w:rPr>
        <w:t>Pracovní skupiny pro měření a srovnávání kvality zdravotní péče</w:t>
      </w:r>
      <w:r w:rsidR="00374C1A">
        <w:rPr>
          <w:bCs/>
        </w:rPr>
        <w:t xml:space="preserve"> s tím, že účastníci této skupiny by mohli být více zapojeni do aktivit MZ v OECD.</w:t>
      </w:r>
    </w:p>
    <w:p w14:paraId="41AA8475" w14:textId="410FAE1A" w:rsidR="00374C1A" w:rsidRDefault="00374C1A" w:rsidP="00064A94">
      <w:pPr>
        <w:spacing w:before="120" w:after="120" w:line="360" w:lineRule="auto"/>
        <w:rPr>
          <w:bCs/>
        </w:rPr>
      </w:pPr>
      <w:r>
        <w:rPr>
          <w:bCs/>
        </w:rPr>
        <w:t xml:space="preserve">Třetím bodem k diskuzi byla </w:t>
      </w:r>
      <w:r w:rsidRPr="00DB1293">
        <w:rPr>
          <w:b/>
          <w:bCs/>
        </w:rPr>
        <w:t>technická informace o přípravě instrukce</w:t>
      </w:r>
      <w:r>
        <w:rPr>
          <w:bCs/>
        </w:rPr>
        <w:t xml:space="preserve">. Odbor MEZ poznamenal, že při </w:t>
      </w:r>
      <w:r w:rsidRPr="00374C1A">
        <w:rPr>
          <w:bCs/>
        </w:rPr>
        <w:t xml:space="preserve">přípravě instrukce je potřeba se primárně zaměřit na pozici ČR a na </w:t>
      </w:r>
      <w:r w:rsidRPr="00374C1A">
        <w:rPr>
          <w:bCs/>
        </w:rPr>
        <w:lastRenderedPageBreak/>
        <w:t>žádosti Sekretariátu</w:t>
      </w:r>
      <w:r w:rsidR="00982DA0">
        <w:rPr>
          <w:bCs/>
        </w:rPr>
        <w:t>.</w:t>
      </w:r>
      <w:r w:rsidRPr="00374C1A">
        <w:rPr>
          <w:bCs/>
        </w:rPr>
        <w:t xml:space="preserve"> </w:t>
      </w:r>
      <w:r w:rsidR="00982DA0">
        <w:rPr>
          <w:bCs/>
        </w:rPr>
        <w:t>B</w:t>
      </w:r>
      <w:r>
        <w:rPr>
          <w:bCs/>
        </w:rPr>
        <w:t xml:space="preserve">ylo zdůrazněno, že </w:t>
      </w:r>
      <w:r w:rsidRPr="00374C1A">
        <w:rPr>
          <w:bCs/>
        </w:rPr>
        <w:t>není potřeba přepisovat</w:t>
      </w:r>
      <w:r w:rsidR="00982DA0">
        <w:rPr>
          <w:bCs/>
        </w:rPr>
        <w:t xml:space="preserve"> / překládat</w:t>
      </w:r>
      <w:r w:rsidRPr="00374C1A">
        <w:rPr>
          <w:bCs/>
        </w:rPr>
        <w:t xml:space="preserve"> obsah celého bodu agendy. V případě </w:t>
      </w:r>
      <w:r>
        <w:rPr>
          <w:bCs/>
        </w:rPr>
        <w:t xml:space="preserve">tématu, ke kterému by ČR chtěla vystoupit, </w:t>
      </w:r>
      <w:r w:rsidR="00777028">
        <w:rPr>
          <w:bCs/>
        </w:rPr>
        <w:t>je potřeba</w:t>
      </w:r>
      <w:r>
        <w:rPr>
          <w:bCs/>
        </w:rPr>
        <w:t xml:space="preserve"> jednak samotný návrh vystoupení (nejlépe v aj) a hlavně také vysvětlující poznámky</w:t>
      </w:r>
      <w:r w:rsidR="00777028">
        <w:rPr>
          <w:bCs/>
        </w:rPr>
        <w:t xml:space="preserve"> pro vyslaného zástupce na jednání</w:t>
      </w:r>
      <w:r>
        <w:rPr>
          <w:bCs/>
        </w:rPr>
        <w:t>, pokud nejsou uvedeny v pozici ČR (případně pokud se vystoupení vyjadřuje k některé části podkladového dokumentu, mělo by být reflektováno také v popisu materiálu)</w:t>
      </w:r>
      <w:r w:rsidR="00777028">
        <w:rPr>
          <w:bCs/>
        </w:rPr>
        <w:t>. Byla rovněž připomenuta nutnost vypracovat zápis z jednání.</w:t>
      </w:r>
    </w:p>
    <w:p w14:paraId="45A86148" w14:textId="1196E241" w:rsidR="00777028" w:rsidRPr="00160F24" w:rsidRDefault="00777028" w:rsidP="00064A94">
      <w:pPr>
        <w:spacing w:before="120" w:after="120" w:line="360" w:lineRule="auto"/>
        <w:rPr>
          <w:bCs/>
        </w:rPr>
      </w:pPr>
      <w:r>
        <w:rPr>
          <w:bCs/>
        </w:rPr>
        <w:t xml:space="preserve">Čtvrtým bodem k diskuzi byly </w:t>
      </w:r>
      <w:r w:rsidRPr="00DB1293">
        <w:rPr>
          <w:b/>
          <w:bCs/>
        </w:rPr>
        <w:t>připomínky k vlastnímu fungování PS OECD</w:t>
      </w:r>
      <w:r>
        <w:rPr>
          <w:bCs/>
        </w:rPr>
        <w:t xml:space="preserve">. Vedle zajištění zastoupení MZ na jednáních OECD a využívání expertízy je cílem, </w:t>
      </w:r>
      <w:r w:rsidRPr="00777028">
        <w:rPr>
          <w:bCs/>
        </w:rPr>
        <w:t>aby členové PS OECD byli informován</w:t>
      </w:r>
      <w:r w:rsidR="00982DA0">
        <w:rPr>
          <w:bCs/>
        </w:rPr>
        <w:t>i</w:t>
      </w:r>
      <w:r w:rsidRPr="00777028">
        <w:rPr>
          <w:bCs/>
        </w:rPr>
        <w:t xml:space="preserve"> o aktivitách OECD se zvláštním zaměřením na zájmov</w:t>
      </w:r>
      <w:r w:rsidR="00761B67">
        <w:rPr>
          <w:bCs/>
        </w:rPr>
        <w:t>é</w:t>
      </w:r>
      <w:r w:rsidRPr="00777028">
        <w:rPr>
          <w:bCs/>
        </w:rPr>
        <w:t xml:space="preserve"> oblast</w:t>
      </w:r>
      <w:r w:rsidR="00761B67">
        <w:rPr>
          <w:bCs/>
        </w:rPr>
        <w:t>i</w:t>
      </w:r>
      <w:r>
        <w:rPr>
          <w:bCs/>
        </w:rPr>
        <w:t xml:space="preserve">. Možnosti intranetu jsou omezené (co se týče ukládání materiálů apod.), základní podkladové materiály a informační dokument o participaci MZ na aktivitách OECD (bude dále aktualizován) jsou uloženy na Portálu pracovních a poradních orgánů MZ, další podkladové materiály jsou rozesílány průběžně členům PS OECD (buď před jednáním, nebo jakmile jsou zveřejněny v případě publikací). </w:t>
      </w:r>
      <w:r w:rsidR="00BE2301">
        <w:rPr>
          <w:bCs/>
        </w:rPr>
        <w:t xml:space="preserve">V této souvislost </w:t>
      </w:r>
      <w:r w:rsidR="00160F24">
        <w:rPr>
          <w:bCs/>
        </w:rPr>
        <w:t>CAU (T</w:t>
      </w:r>
      <w:r w:rsidR="00800290">
        <w:rPr>
          <w:bCs/>
        </w:rPr>
        <w:t>.</w:t>
      </w:r>
      <w:r w:rsidR="00160F24">
        <w:rPr>
          <w:bCs/>
        </w:rPr>
        <w:t xml:space="preserve"> Troch) navrhl vytvořit </w:t>
      </w:r>
      <w:proofErr w:type="spellStart"/>
      <w:r w:rsidR="00160F24">
        <w:rPr>
          <w:bCs/>
        </w:rPr>
        <w:t>newsletter</w:t>
      </w:r>
      <w:proofErr w:type="spellEnd"/>
      <w:r w:rsidR="00160F24">
        <w:rPr>
          <w:bCs/>
        </w:rPr>
        <w:t>, který by obsahoval stěžejní informace (publikace) z OECD k zvětšení informovanosti o</w:t>
      </w:r>
      <w:r w:rsidR="00761B67">
        <w:rPr>
          <w:bCs/>
        </w:rPr>
        <w:t> </w:t>
      </w:r>
      <w:r w:rsidR="00160F24">
        <w:rPr>
          <w:bCs/>
        </w:rPr>
        <w:t>aktivitách organizace na MZ</w:t>
      </w:r>
      <w:r w:rsidR="00761B67">
        <w:rPr>
          <w:bCs/>
        </w:rPr>
        <w:t xml:space="preserve">, který by byl distribuován také </w:t>
      </w:r>
      <w:r w:rsidR="00160F24">
        <w:rPr>
          <w:bCs/>
        </w:rPr>
        <w:t xml:space="preserve">mimo PS OECD. Vzhledem k tomu, že je snahou MEZ zvýšit co nejvíce povědomí na MZ o aktivitách OECD, návrh s radostí přijal. Na základě diskuze byla zvolena varianta půlročních </w:t>
      </w:r>
      <w:proofErr w:type="spellStart"/>
      <w:r w:rsidR="00160F24">
        <w:rPr>
          <w:bCs/>
        </w:rPr>
        <w:t>newsletterů</w:t>
      </w:r>
      <w:proofErr w:type="spellEnd"/>
      <w:r w:rsidR="00160F24">
        <w:rPr>
          <w:bCs/>
        </w:rPr>
        <w:t xml:space="preserve">. K dotazu, zda vznikají audio záznamy bylo poznamenáno, že OECD dává k dispozici pouze písemné záznamy z jednání, </w:t>
      </w:r>
      <w:r w:rsidR="00160F24" w:rsidRPr="00160F24">
        <w:rPr>
          <w:bCs/>
        </w:rPr>
        <w:t xml:space="preserve">v ojedinělých případech (zpravidla zasedání na vysoké úrovni) je k dispozici videopřenos z jednání. </w:t>
      </w:r>
    </w:p>
    <w:p w14:paraId="67A8ECC2" w14:textId="6472A40A" w:rsidR="00530168" w:rsidRPr="00530168" w:rsidRDefault="00160F24" w:rsidP="00530168">
      <w:pPr>
        <w:spacing w:line="360" w:lineRule="auto"/>
        <w:rPr>
          <w:bCs/>
          <w:highlight w:val="green"/>
        </w:rPr>
      </w:pPr>
      <w:r w:rsidRPr="00160F24">
        <w:rPr>
          <w:bCs/>
        </w:rPr>
        <w:t xml:space="preserve">Posledním bodem jednání byla informace o přípravě </w:t>
      </w:r>
      <w:r w:rsidRPr="00DB1293">
        <w:rPr>
          <w:b/>
          <w:bCs/>
        </w:rPr>
        <w:t>semináře ke zdroji dat pro OECD za ČR</w:t>
      </w:r>
      <w:r w:rsidRPr="00160F24">
        <w:rPr>
          <w:bCs/>
        </w:rPr>
        <w:t xml:space="preserve">. Byl vyjádřen zájem uspořádat seminář k objasnění sdílení dat s OECD, resp. jakým způsobem a z jakých zdrojů jsou vyplňovány indikátory o zdravotnictví ČR do databází OECD, a to se zvláštním </w:t>
      </w:r>
      <w:r w:rsidR="00761B67" w:rsidRPr="00160F24">
        <w:rPr>
          <w:bCs/>
        </w:rPr>
        <w:t>zaměřením,</w:t>
      </w:r>
      <w:r w:rsidRPr="00160F24">
        <w:rPr>
          <w:bCs/>
        </w:rPr>
        <w:t xml:space="preserve"> jak funguje systém zdravotních účtů (SHA). ÚZIS oslov</w:t>
      </w:r>
      <w:r w:rsidR="00761B67">
        <w:rPr>
          <w:bCs/>
        </w:rPr>
        <w:t>il v této věci</w:t>
      </w:r>
      <w:r w:rsidRPr="00160F24">
        <w:rPr>
          <w:bCs/>
        </w:rPr>
        <w:t xml:space="preserve"> ČSÚ, který je zodpovědný za poskytování dat v systému zdravotnických účtů</w:t>
      </w:r>
      <w:r w:rsidR="00761B67">
        <w:rPr>
          <w:bCs/>
        </w:rPr>
        <w:t>.</w:t>
      </w:r>
      <w:r w:rsidRPr="00160F24">
        <w:rPr>
          <w:bCs/>
        </w:rPr>
        <w:t xml:space="preserve"> </w:t>
      </w:r>
      <w:r w:rsidR="00761B67">
        <w:rPr>
          <w:bCs/>
        </w:rPr>
        <w:t>J</w:t>
      </w:r>
      <w:r w:rsidRPr="00160F24">
        <w:rPr>
          <w:bCs/>
        </w:rPr>
        <w:t>akmile bude znám termín</w:t>
      </w:r>
      <w:r w:rsidR="00982DA0">
        <w:rPr>
          <w:bCs/>
        </w:rPr>
        <w:t>,</w:t>
      </w:r>
      <w:r w:rsidRPr="00160F24">
        <w:rPr>
          <w:bCs/>
        </w:rPr>
        <w:t xml:space="preserve"> MEZ</w:t>
      </w:r>
      <w:r>
        <w:rPr>
          <w:bCs/>
        </w:rPr>
        <w:t xml:space="preserve"> pošle</w:t>
      </w:r>
      <w:r w:rsidRPr="00160F24">
        <w:rPr>
          <w:bCs/>
        </w:rPr>
        <w:t xml:space="preserve"> do PS OECD</w:t>
      </w:r>
      <w:r w:rsidR="00761B67">
        <w:rPr>
          <w:bCs/>
        </w:rPr>
        <w:t xml:space="preserve"> (a případně dalším vytipovaným expertům)</w:t>
      </w:r>
      <w:r w:rsidRPr="00160F24">
        <w:rPr>
          <w:bCs/>
        </w:rPr>
        <w:t xml:space="preserve"> </w:t>
      </w:r>
      <w:r w:rsidR="00761B67">
        <w:rPr>
          <w:bCs/>
        </w:rPr>
        <w:t>pozvánku</w:t>
      </w:r>
      <w:r>
        <w:rPr>
          <w:bCs/>
        </w:rPr>
        <w:t>. Po diskuzi s ÚZIS bude téma rozšířeno na poskytování dat také do WHO a EK.</w:t>
      </w:r>
    </w:p>
    <w:p w14:paraId="568FB401" w14:textId="77777777" w:rsidR="0048441F" w:rsidRPr="0063297E" w:rsidRDefault="0048441F"/>
    <w:p w14:paraId="61F968EC" w14:textId="6F347A85" w:rsidR="0048441F" w:rsidRDefault="0048441F"/>
    <w:p w14:paraId="4B4D3E92" w14:textId="6D66436C" w:rsidR="00DB1293" w:rsidRDefault="00DB1293"/>
    <w:p w14:paraId="07358504" w14:textId="2B3CAAD1" w:rsidR="00DB1293" w:rsidRDefault="00DB1293"/>
    <w:p w14:paraId="5171EEE3" w14:textId="1AE667F0" w:rsidR="00DB1293" w:rsidRDefault="00DB1293"/>
    <w:p w14:paraId="1E2DC2B5" w14:textId="77777777" w:rsidR="00DB1293" w:rsidRPr="0063297E" w:rsidRDefault="00DB1293"/>
    <w:p w14:paraId="383B086A" w14:textId="77777777" w:rsidR="0024352B" w:rsidRPr="00BC3EEB" w:rsidRDefault="0024352B" w:rsidP="0024352B">
      <w:pPr>
        <w:spacing w:before="120" w:after="120" w:line="360" w:lineRule="auto"/>
        <w:rPr>
          <w:b/>
          <w:szCs w:val="22"/>
        </w:rPr>
      </w:pPr>
      <w:r>
        <w:rPr>
          <w:b/>
          <w:szCs w:val="22"/>
        </w:rPr>
        <w:t>Úkoly:</w:t>
      </w:r>
    </w:p>
    <w:p w14:paraId="4BBEACD0" w14:textId="77777777" w:rsidR="00761B67" w:rsidRDefault="00761B67" w:rsidP="00761B67">
      <w:pPr>
        <w:pStyle w:val="Odstavecseseznamem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Členové PS OECD: zvážit priority MZ v OECD.</w:t>
      </w:r>
    </w:p>
    <w:p w14:paraId="6CF88D63" w14:textId="77777777" w:rsidR="00761B67" w:rsidRPr="0024352B" w:rsidRDefault="00761B67" w:rsidP="00761B67">
      <w:pPr>
        <w:pStyle w:val="Odstavecseseznamem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24352B">
        <w:rPr>
          <w:rFonts w:ascii="Arial" w:hAnsi="Arial"/>
          <w:sz w:val="22"/>
          <w:szCs w:val="22"/>
        </w:rPr>
        <w:lastRenderedPageBreak/>
        <w:t>Členové PS OECD: zvážit rozšíření osob v PS OECD v rámci stávajících věcných odborů a nahlásit konkrétní kontakty</w:t>
      </w:r>
      <w:r>
        <w:rPr>
          <w:rFonts w:ascii="Arial" w:hAnsi="Arial"/>
          <w:sz w:val="22"/>
          <w:szCs w:val="22"/>
        </w:rPr>
        <w:t>.</w:t>
      </w:r>
      <w:r w:rsidRPr="0024352B">
        <w:rPr>
          <w:rFonts w:ascii="Arial" w:hAnsi="Arial"/>
          <w:sz w:val="22"/>
          <w:szCs w:val="22"/>
        </w:rPr>
        <w:t xml:space="preserve"> </w:t>
      </w:r>
    </w:p>
    <w:p w14:paraId="16550967" w14:textId="77777777" w:rsidR="0024352B" w:rsidRDefault="0024352B" w:rsidP="00EA1591">
      <w:pPr>
        <w:pStyle w:val="Odstavecseseznamem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MEZ: </w:t>
      </w:r>
      <w:r w:rsidRPr="0024352B">
        <w:rPr>
          <w:rFonts w:ascii="Arial" w:hAnsi="Arial"/>
          <w:sz w:val="22"/>
          <w:szCs w:val="22"/>
        </w:rPr>
        <w:t>zaslat zápis z jednání PS OECD (</w:t>
      </w:r>
      <w:r w:rsidR="00761B67">
        <w:rPr>
          <w:rFonts w:ascii="Arial" w:hAnsi="Arial"/>
          <w:sz w:val="22"/>
          <w:szCs w:val="22"/>
        </w:rPr>
        <w:t>k připomínkám členům PS OECD</w:t>
      </w:r>
      <w:r w:rsidRPr="0024352B">
        <w:rPr>
          <w:rFonts w:ascii="Arial" w:hAnsi="Arial"/>
          <w:sz w:val="22"/>
          <w:szCs w:val="22"/>
        </w:rPr>
        <w:t>)</w:t>
      </w:r>
    </w:p>
    <w:p w14:paraId="57566066" w14:textId="77777777" w:rsidR="0024352B" w:rsidRDefault="0024352B" w:rsidP="00EA1591">
      <w:pPr>
        <w:pStyle w:val="Odstavecseseznamem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MEZ: zaslat </w:t>
      </w:r>
      <w:proofErr w:type="spellStart"/>
      <w:r>
        <w:rPr>
          <w:rFonts w:ascii="Arial" w:hAnsi="Arial"/>
          <w:sz w:val="22"/>
          <w:szCs w:val="22"/>
        </w:rPr>
        <w:t>newsletter</w:t>
      </w:r>
      <w:proofErr w:type="spellEnd"/>
      <w:r>
        <w:rPr>
          <w:rFonts w:ascii="Arial" w:hAnsi="Arial"/>
          <w:sz w:val="22"/>
          <w:szCs w:val="22"/>
        </w:rPr>
        <w:t xml:space="preserve"> o aktivitách OECD</w:t>
      </w:r>
      <w:r w:rsidR="00761B67">
        <w:rPr>
          <w:rFonts w:ascii="Arial" w:hAnsi="Arial"/>
          <w:sz w:val="22"/>
          <w:szCs w:val="22"/>
        </w:rPr>
        <w:t xml:space="preserve"> a vytipovat vhodné adresáty</w:t>
      </w:r>
    </w:p>
    <w:p w14:paraId="27BD1ACC" w14:textId="1D0BF7F7" w:rsidR="0024352B" w:rsidRDefault="0024352B" w:rsidP="00EA1591">
      <w:pPr>
        <w:pStyle w:val="Odstavecseseznamem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MEZ: aktualizovat informace o OECD v Portálu pracovních a poradních orgán</w:t>
      </w:r>
      <w:r w:rsidR="00982DA0"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 xml:space="preserve"> MZ</w:t>
      </w:r>
    </w:p>
    <w:p w14:paraId="1CB9D39C" w14:textId="77777777" w:rsidR="00427107" w:rsidRDefault="00427107" w:rsidP="00EA1591">
      <w:pPr>
        <w:pStyle w:val="Odstavecseseznamem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MEZ + ÚZIS: Připravit seminář ke zdrojům dat zasílaných z ČR do mezinárodních organizací a rozeslat pozvánku.</w:t>
      </w:r>
    </w:p>
    <w:p w14:paraId="1FF7D6CC" w14:textId="77777777" w:rsidR="00427107" w:rsidRPr="00761B67" w:rsidRDefault="0024352B" w:rsidP="00761B67">
      <w:pPr>
        <w:pStyle w:val="Odstavecseseznamem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761B67">
        <w:rPr>
          <w:rFonts w:ascii="Arial" w:hAnsi="Arial"/>
          <w:sz w:val="22"/>
          <w:szCs w:val="22"/>
        </w:rPr>
        <w:t>MEZ: představit aktivity OECD na dalším jednání Pracovní skupiny pro měření a srovnávání kvality zdravotní péče</w:t>
      </w:r>
      <w:r w:rsidR="00761B67" w:rsidRPr="00761B67">
        <w:rPr>
          <w:rFonts w:ascii="Arial" w:hAnsi="Arial"/>
          <w:sz w:val="22"/>
          <w:szCs w:val="22"/>
        </w:rPr>
        <w:t xml:space="preserve"> (</w:t>
      </w:r>
      <w:r w:rsidR="00427107" w:rsidRPr="00761B67">
        <w:rPr>
          <w:rFonts w:ascii="Arial" w:hAnsi="Arial"/>
          <w:sz w:val="22"/>
          <w:szCs w:val="22"/>
        </w:rPr>
        <w:t>OZP: zaslat pozvánku MEZ</w:t>
      </w:r>
      <w:r w:rsidR="00761B67">
        <w:rPr>
          <w:rFonts w:ascii="Arial" w:hAnsi="Arial"/>
          <w:sz w:val="22"/>
          <w:szCs w:val="22"/>
        </w:rPr>
        <w:t>)</w:t>
      </w:r>
    </w:p>
    <w:p w14:paraId="01F822C2" w14:textId="77777777" w:rsidR="0024352B" w:rsidRDefault="0024352B" w:rsidP="0024352B">
      <w:pPr>
        <w:spacing w:before="120" w:after="120" w:line="360" w:lineRule="auto"/>
        <w:rPr>
          <w:szCs w:val="22"/>
        </w:rPr>
      </w:pPr>
    </w:p>
    <w:p w14:paraId="275A2D5E" w14:textId="77777777" w:rsidR="009C3AAB" w:rsidRPr="0063297E" w:rsidRDefault="009C3AAB" w:rsidP="009C3AAB"/>
    <w:sectPr w:rsidR="009C3AAB" w:rsidRPr="0063297E" w:rsidSect="008D13E5">
      <w:pgSz w:w="11906" w:h="16838" w:code="9"/>
      <w:pgMar w:top="1417" w:right="1417" w:bottom="1417" w:left="1417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A7D1" w14:textId="77777777" w:rsidR="00634AEA" w:rsidRDefault="00634AEA" w:rsidP="00112206">
      <w:pPr>
        <w:spacing w:line="240" w:lineRule="auto"/>
      </w:pPr>
      <w:r>
        <w:separator/>
      </w:r>
    </w:p>
  </w:endnote>
  <w:endnote w:type="continuationSeparator" w:id="0">
    <w:p w14:paraId="12441325" w14:textId="77777777" w:rsidR="00634AEA" w:rsidRDefault="00634AEA" w:rsidP="00112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88D9" w14:textId="77777777" w:rsidR="00634AEA" w:rsidRDefault="00634AEA" w:rsidP="00112206">
      <w:pPr>
        <w:spacing w:line="240" w:lineRule="auto"/>
      </w:pPr>
      <w:r>
        <w:separator/>
      </w:r>
    </w:p>
  </w:footnote>
  <w:footnote w:type="continuationSeparator" w:id="0">
    <w:p w14:paraId="08475243" w14:textId="77777777" w:rsidR="00634AEA" w:rsidRDefault="00634AEA" w:rsidP="00112206">
      <w:pPr>
        <w:spacing w:line="240" w:lineRule="auto"/>
      </w:pPr>
      <w:r>
        <w:continuationSeparator/>
      </w:r>
    </w:p>
  </w:footnote>
  <w:footnote w:id="1">
    <w:p w14:paraId="6433BD89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Jedná se o aktivity Zdravotnického výboru a jeho podskupin. Konkrétně tedy </w:t>
      </w:r>
      <w:proofErr w:type="spellStart"/>
      <w:r w:rsidRPr="00112206">
        <w:t>Working</w:t>
      </w:r>
      <w:proofErr w:type="spellEnd"/>
      <w:r w:rsidRPr="00112206">
        <w:t xml:space="preserve"> Party on </w:t>
      </w:r>
      <w:proofErr w:type="spellStart"/>
      <w:r w:rsidRPr="00112206">
        <w:t>Health</w:t>
      </w:r>
      <w:proofErr w:type="spellEnd"/>
      <w:r w:rsidRPr="00112206">
        <w:t xml:space="preserve"> </w:t>
      </w:r>
      <w:proofErr w:type="spellStart"/>
      <w:r w:rsidRPr="00112206">
        <w:t>Statistics</w:t>
      </w:r>
      <w:proofErr w:type="spellEnd"/>
      <w:r w:rsidRPr="00112206">
        <w:t xml:space="preserve">; </w:t>
      </w:r>
      <w:proofErr w:type="spellStart"/>
      <w:r w:rsidRPr="00112206">
        <w:t>Working</w:t>
      </w:r>
      <w:proofErr w:type="spellEnd"/>
      <w:r w:rsidRPr="00112206">
        <w:t xml:space="preserve"> Party on </w:t>
      </w:r>
      <w:proofErr w:type="spellStart"/>
      <w:r w:rsidRPr="00112206">
        <w:t>Health</w:t>
      </w:r>
      <w:proofErr w:type="spellEnd"/>
      <w:r w:rsidRPr="00112206">
        <w:t xml:space="preserve"> Care </w:t>
      </w:r>
      <w:proofErr w:type="spellStart"/>
      <w:r w:rsidRPr="00112206">
        <w:t>Quality</w:t>
      </w:r>
      <w:proofErr w:type="spellEnd"/>
      <w:r w:rsidRPr="00112206">
        <w:t xml:space="preserve"> and </w:t>
      </w:r>
      <w:proofErr w:type="spellStart"/>
      <w:r w:rsidRPr="00112206">
        <w:t>Outcomes</w:t>
      </w:r>
      <w:proofErr w:type="spellEnd"/>
      <w:r>
        <w:t xml:space="preserve"> (HCQO)</w:t>
      </w:r>
      <w:r w:rsidRPr="00112206">
        <w:t xml:space="preserve">; Expert Group on </w:t>
      </w:r>
      <w:proofErr w:type="spellStart"/>
      <w:r w:rsidRPr="00112206">
        <w:t>Economy</w:t>
      </w:r>
      <w:proofErr w:type="spellEnd"/>
      <w:r w:rsidRPr="00112206">
        <w:t xml:space="preserve"> </w:t>
      </w:r>
      <w:proofErr w:type="spellStart"/>
      <w:r w:rsidRPr="00112206">
        <w:t>of</w:t>
      </w:r>
      <w:proofErr w:type="spellEnd"/>
      <w:r w:rsidRPr="00112206">
        <w:t xml:space="preserve"> Public </w:t>
      </w:r>
      <w:proofErr w:type="spellStart"/>
      <w:r w:rsidRPr="00112206">
        <w:t>Health</w:t>
      </w:r>
      <w:proofErr w:type="spellEnd"/>
      <w:r w:rsidRPr="00112206">
        <w:t xml:space="preserve">; Expert Group on </w:t>
      </w:r>
      <w:proofErr w:type="spellStart"/>
      <w:r w:rsidRPr="00112206">
        <w:t>Pharmaceuticals</w:t>
      </w:r>
      <w:proofErr w:type="spellEnd"/>
      <w:r w:rsidRPr="00112206">
        <w:t xml:space="preserve"> and </w:t>
      </w:r>
      <w:proofErr w:type="spellStart"/>
      <w:r w:rsidRPr="00112206">
        <w:t>Medical</w:t>
      </w:r>
      <w:proofErr w:type="spellEnd"/>
      <w:r w:rsidRPr="00112206">
        <w:t xml:space="preserve"> </w:t>
      </w:r>
      <w:proofErr w:type="spellStart"/>
      <w:r w:rsidRPr="00112206">
        <w:t>Devices</w:t>
      </w:r>
      <w:proofErr w:type="spellEnd"/>
      <w:r>
        <w:t xml:space="preserve">; a </w:t>
      </w:r>
      <w:r w:rsidRPr="00153922">
        <w:rPr>
          <w:bCs/>
        </w:rPr>
        <w:t xml:space="preserve">Joint Network on </w:t>
      </w:r>
      <w:proofErr w:type="spellStart"/>
      <w:r w:rsidRPr="00153922">
        <w:rPr>
          <w:bCs/>
        </w:rPr>
        <w:t>Fiscal</w:t>
      </w:r>
      <w:proofErr w:type="spellEnd"/>
      <w:r w:rsidRPr="00153922">
        <w:rPr>
          <w:bCs/>
        </w:rPr>
        <w:t xml:space="preserve"> </w:t>
      </w:r>
      <w:proofErr w:type="spellStart"/>
      <w:r w:rsidRPr="00153922">
        <w:rPr>
          <w:bCs/>
        </w:rPr>
        <w:t>Sustainability</w:t>
      </w:r>
      <w:proofErr w:type="spellEnd"/>
      <w:r w:rsidRPr="00153922">
        <w:rPr>
          <w:bCs/>
        </w:rPr>
        <w:t xml:space="preserve"> </w:t>
      </w:r>
      <w:proofErr w:type="spellStart"/>
      <w:r w:rsidRPr="00153922">
        <w:rPr>
          <w:bCs/>
        </w:rPr>
        <w:t>of</w:t>
      </w:r>
      <w:proofErr w:type="spellEnd"/>
      <w:r w:rsidRPr="00153922">
        <w:rPr>
          <w:bCs/>
        </w:rPr>
        <w:t xml:space="preserve"> </w:t>
      </w:r>
      <w:proofErr w:type="spellStart"/>
      <w:r w:rsidRPr="00153922">
        <w:rPr>
          <w:bCs/>
        </w:rPr>
        <w:t>Health</w:t>
      </w:r>
      <w:proofErr w:type="spellEnd"/>
      <w:r w:rsidRPr="00153922">
        <w:rPr>
          <w:bCs/>
        </w:rPr>
        <w:t xml:space="preserve"> Systems</w:t>
      </w:r>
      <w:r>
        <w:rPr>
          <w:bCs/>
        </w:rPr>
        <w:t xml:space="preserve"> (nespadá pod struktury Zdravotnického výboru).</w:t>
      </w:r>
    </w:p>
  </w:footnote>
  <w:footnote w:id="2">
    <w:p w14:paraId="2FFB18B2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D7856">
        <w:t>S</w:t>
      </w:r>
      <w:r>
        <w:t xml:space="preserve"> ohledem na omezený prostor se </w:t>
      </w:r>
      <w:r w:rsidRPr="0063297E">
        <w:t xml:space="preserve">nejedná o výčet všech aktivit </w:t>
      </w:r>
      <w:r w:rsidR="00930E9D">
        <w:t>HC</w:t>
      </w:r>
      <w:r w:rsidRPr="0063297E">
        <w:t xml:space="preserve"> (případně Joint Network on </w:t>
      </w:r>
      <w:proofErr w:type="spellStart"/>
      <w:r w:rsidRPr="0063297E">
        <w:t>Fiscal</w:t>
      </w:r>
      <w:proofErr w:type="spellEnd"/>
      <w:r w:rsidRPr="0063297E">
        <w:t xml:space="preserve"> </w:t>
      </w:r>
      <w:proofErr w:type="spellStart"/>
      <w:r w:rsidRPr="0063297E">
        <w:t>Sustainability</w:t>
      </w:r>
      <w:proofErr w:type="spellEnd"/>
      <w:r w:rsidRPr="0063297E">
        <w:t xml:space="preserve"> </w:t>
      </w:r>
      <w:proofErr w:type="spellStart"/>
      <w:r w:rsidRPr="0063297E">
        <w:t>of</w:t>
      </w:r>
      <w:proofErr w:type="spellEnd"/>
      <w:r w:rsidRPr="0063297E">
        <w:t xml:space="preserve"> </w:t>
      </w:r>
      <w:proofErr w:type="spellStart"/>
      <w:r w:rsidRPr="0063297E">
        <w:t>Health</w:t>
      </w:r>
      <w:proofErr w:type="spellEnd"/>
      <w:r w:rsidRPr="0063297E">
        <w:t xml:space="preserve"> Systems), pouze o okruhy aktivit (či konkrétní projekty), které jsou aktuální, mají ze strany OECD prioritu </w:t>
      </w:r>
      <w:r>
        <w:t>nebo mohou být pro MZ přínosné.</w:t>
      </w:r>
    </w:p>
  </w:footnote>
  <w:footnote w:id="3">
    <w:p w14:paraId="4EEF3C08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DB70A4">
          <w:rPr>
            <w:rStyle w:val="Hypertextovodkaz"/>
          </w:rPr>
          <w:t>https://www.oecd.org/health/health-systems/health-care-quality-framework.htm</w:t>
        </w:r>
      </w:hyperlink>
      <w:r>
        <w:t xml:space="preserve"> </w:t>
      </w:r>
    </w:p>
  </w:footnote>
  <w:footnote w:id="4">
    <w:p w14:paraId="4ADED0CD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DB70A4">
          <w:rPr>
            <w:rStyle w:val="Hypertextovodkaz"/>
          </w:rPr>
          <w:t>https://www.oecd.org/els/health-systems/health-data.htm</w:t>
        </w:r>
      </w:hyperlink>
      <w:r>
        <w:t xml:space="preserve"> </w:t>
      </w:r>
    </w:p>
  </w:footnote>
  <w:footnote w:id="5">
    <w:p w14:paraId="60FD36C4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DB70A4">
          <w:rPr>
            <w:rStyle w:val="Hypertextovodkaz"/>
          </w:rPr>
          <w:t>https://www.oecd.org/health/health-systems/primary-care.htm</w:t>
        </w:r>
      </w:hyperlink>
      <w:r>
        <w:t xml:space="preserve"> </w:t>
      </w:r>
    </w:p>
  </w:footnote>
  <w:footnote w:id="6">
    <w:p w14:paraId="6D2AE56D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Pr="00DB70A4">
          <w:rPr>
            <w:rStyle w:val="Hypertextovodkaz"/>
          </w:rPr>
          <w:t>https://www.oecd.org/health/health-systems/OECD-Policy-Brief-Primary-Health-Care-May-2019.pdf</w:t>
        </w:r>
      </w:hyperlink>
      <w:r>
        <w:t xml:space="preserve"> </w:t>
      </w:r>
    </w:p>
  </w:footnote>
  <w:footnote w:id="7">
    <w:p w14:paraId="21B079D7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Přehled pracovních dokumentů k této a dalším oblastem jsou k nalezení zde: </w:t>
      </w:r>
      <w:hyperlink r:id="rId5" w:history="1">
        <w:r w:rsidRPr="008A40E4">
          <w:rPr>
            <w:rStyle w:val="Hypertextovodkaz"/>
          </w:rPr>
          <w:t>http://www.oecd.org/els/health-systems/health-working-papers.htm</w:t>
        </w:r>
      </w:hyperlink>
      <w:r>
        <w:t xml:space="preserve">. Nad rámec uvedených pracovních dokumentů OECD zveřejňuje také studie, přezkumy apod., jedná se o publikace, které zpravidla vznikly jako výstup konkrétního projektu. K nalezení zde: </w:t>
      </w:r>
      <w:hyperlink r:id="rId6" w:history="1">
        <w:r w:rsidR="00462487" w:rsidRPr="008A40E4">
          <w:rPr>
            <w:rStyle w:val="Hypertextovodkaz"/>
          </w:rPr>
          <w:t>https://www.oecd.org/health/health-publications.htm</w:t>
        </w:r>
      </w:hyperlink>
      <w:r w:rsidR="00462487">
        <w:t xml:space="preserve"> </w:t>
      </w:r>
      <w:r>
        <w:t xml:space="preserve"> </w:t>
      </w:r>
    </w:p>
  </w:footnote>
  <w:footnote w:id="8">
    <w:p w14:paraId="0A3EEEAC" w14:textId="77777777" w:rsidR="00634AEA" w:rsidRDefault="00634AEA" w:rsidP="006D63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7" w:history="1">
        <w:r w:rsidRPr="008A40E4">
          <w:rPr>
            <w:rStyle w:val="Hypertextovodkaz"/>
          </w:rPr>
          <w:t>http://www.oecd.org/officialdocuments/publicdisplaydocumentpdf/?cote=DELSA/HEA/WD/HWP(2019)3&amp;docLanguage=En</w:t>
        </w:r>
      </w:hyperlink>
      <w:r>
        <w:t xml:space="preserve"> </w:t>
      </w:r>
    </w:p>
  </w:footnote>
  <w:footnote w:id="9">
    <w:p w14:paraId="2B56ED7D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8" w:history="1">
        <w:r w:rsidRPr="008A40E4">
          <w:rPr>
            <w:rStyle w:val="Hypertextovodkaz"/>
          </w:rPr>
          <w:t>https://www.oecd.org/els/health-systems/antimicrobial-resistance.htm</w:t>
        </w:r>
      </w:hyperlink>
      <w:r>
        <w:t xml:space="preserve"> </w:t>
      </w:r>
    </w:p>
  </w:footnote>
  <w:footnote w:id="10">
    <w:p w14:paraId="40E1A64F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9" w:history="1">
        <w:r w:rsidRPr="008A40E4">
          <w:rPr>
            <w:rStyle w:val="Hypertextovodkaz"/>
          </w:rPr>
          <w:t>https://www.oecd.org/health/health-systems/public-health-reviews.htm</w:t>
        </w:r>
      </w:hyperlink>
      <w:r>
        <w:t xml:space="preserve"> </w:t>
      </w:r>
    </w:p>
  </w:footnote>
  <w:footnote w:id="11">
    <w:p w14:paraId="2BB5ECA2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0" w:history="1">
        <w:r w:rsidRPr="008A40E4">
          <w:rPr>
            <w:rStyle w:val="Hypertextovodkaz"/>
          </w:rPr>
          <w:t>http://www.oecd.org/health/dementia.htm</w:t>
        </w:r>
      </w:hyperlink>
      <w:r>
        <w:t xml:space="preserve"> </w:t>
      </w:r>
    </w:p>
  </w:footnote>
  <w:footnote w:id="12">
    <w:p w14:paraId="7D43C4B6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1" w:history="1">
        <w:r w:rsidRPr="008A40E4">
          <w:rPr>
            <w:rStyle w:val="Hypertextovodkaz"/>
          </w:rPr>
          <w:t>http://www.oecd.org/health/health-systems/OECD-Mental-Health-Performance-Framework-2019.pdf</w:t>
        </w:r>
      </w:hyperlink>
      <w:r>
        <w:t xml:space="preserve"> </w:t>
      </w:r>
    </w:p>
  </w:footnote>
  <w:footnote w:id="13">
    <w:p w14:paraId="2BDE6D5C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2" w:history="1">
        <w:r w:rsidRPr="008A40E4">
          <w:rPr>
            <w:rStyle w:val="Hypertextovodkaz"/>
          </w:rPr>
          <w:t>http://www.oecd.org/health/health-systems/workforce.htm</w:t>
        </w:r>
      </w:hyperlink>
      <w:r>
        <w:t xml:space="preserve"> </w:t>
      </w:r>
    </w:p>
  </w:footnote>
  <w:footnote w:id="14">
    <w:p w14:paraId="0F1623FD" w14:textId="77777777" w:rsidR="00634AEA" w:rsidRDefault="00634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3" w:history="1">
        <w:r w:rsidRPr="008A40E4">
          <w:rPr>
            <w:rStyle w:val="Hypertextovodkaz"/>
          </w:rPr>
          <w:t>https://www.who.int/hrh/migration/int-platform-hw-mobility/en/</w:t>
        </w:r>
      </w:hyperlink>
      <w:r>
        <w:t xml:space="preserve"> </w:t>
      </w:r>
    </w:p>
  </w:footnote>
  <w:footnote w:id="15">
    <w:p w14:paraId="5F6F51E9" w14:textId="77777777" w:rsidR="000125E7" w:rsidRDefault="00012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4" w:history="1">
        <w:r w:rsidRPr="00587085">
          <w:rPr>
            <w:rStyle w:val="Hypertextovodkaz"/>
          </w:rPr>
          <w:t>https://www.oecd.org/going-digital/</w:t>
        </w:r>
      </w:hyperlink>
      <w:r>
        <w:t xml:space="preserve"> </w:t>
      </w:r>
    </w:p>
  </w:footnote>
  <w:footnote w:id="16">
    <w:p w14:paraId="4CA64FE7" w14:textId="77777777" w:rsidR="008F282D" w:rsidRDefault="008F2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5" w:history="1">
        <w:r w:rsidRPr="008A40E4">
          <w:rPr>
            <w:rStyle w:val="Hypertextovodkaz"/>
          </w:rPr>
          <w:t>http://www.oecd.org/els/health-systems/health-data.htm</w:t>
        </w:r>
      </w:hyperlink>
      <w:r>
        <w:t xml:space="preserve"> </w:t>
      </w:r>
    </w:p>
  </w:footnote>
  <w:footnote w:id="17">
    <w:p w14:paraId="23543F37" w14:textId="77777777" w:rsidR="008F282D" w:rsidRDefault="008F2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6" w:history="1">
        <w:r w:rsidRPr="008A40E4">
          <w:rPr>
            <w:rStyle w:val="Hypertextovodkaz"/>
          </w:rPr>
          <w:t>https://www.oecd.org/els/health-systems/reviews-health-systems.htm</w:t>
        </w:r>
      </w:hyperlink>
      <w:r>
        <w:t xml:space="preserve"> </w:t>
      </w:r>
    </w:p>
  </w:footnote>
  <w:footnote w:id="18">
    <w:p w14:paraId="7209E2D7" w14:textId="77777777" w:rsidR="008F282D" w:rsidRDefault="008F28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7" w:history="1">
        <w:r w:rsidRPr="008A40E4">
          <w:rPr>
            <w:rStyle w:val="Hypertextovodkaz"/>
          </w:rPr>
          <w:t>https://www.oecd.org/health/health-systems/public-health-reviews.htm</w:t>
        </w:r>
      </w:hyperlink>
      <w:r>
        <w:t xml:space="preserve"> </w:t>
      </w:r>
    </w:p>
  </w:footnote>
  <w:footnote w:id="19">
    <w:p w14:paraId="00504559" w14:textId="77777777" w:rsidR="00052027" w:rsidRDefault="00052027">
      <w:pPr>
        <w:pStyle w:val="Textpoznpodarou"/>
      </w:pPr>
      <w:r>
        <w:rPr>
          <w:rStyle w:val="Znakapoznpodarou"/>
        </w:rPr>
        <w:footnoteRef/>
      </w:r>
      <w:r>
        <w:t xml:space="preserve"> Oproti jednání PS je tento seznam již aktualizován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E36"/>
    <w:multiLevelType w:val="hybridMultilevel"/>
    <w:tmpl w:val="BD805580"/>
    <w:lvl w:ilvl="0" w:tplc="80721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8A8B4">
      <w:start w:val="14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AA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20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20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A3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A7F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88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CC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5E2"/>
    <w:multiLevelType w:val="hybridMultilevel"/>
    <w:tmpl w:val="93BC4044"/>
    <w:lvl w:ilvl="0" w:tplc="2B0005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02600">
      <w:start w:val="141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C5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A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6A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63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A4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81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C3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2DC"/>
    <w:multiLevelType w:val="hybridMultilevel"/>
    <w:tmpl w:val="1700CCDE"/>
    <w:lvl w:ilvl="0" w:tplc="1C3A5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073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9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6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6D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48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60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05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CA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6D57"/>
    <w:multiLevelType w:val="hybridMultilevel"/>
    <w:tmpl w:val="F2F0A87E"/>
    <w:lvl w:ilvl="0" w:tplc="7192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65D7"/>
    <w:multiLevelType w:val="hybridMultilevel"/>
    <w:tmpl w:val="4AD07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7B3B"/>
    <w:multiLevelType w:val="hybridMultilevel"/>
    <w:tmpl w:val="AE440786"/>
    <w:lvl w:ilvl="0" w:tplc="23E2D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ED348">
      <w:start w:val="100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C9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04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24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27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20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E6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29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27E7E"/>
    <w:multiLevelType w:val="hybridMultilevel"/>
    <w:tmpl w:val="E60E520E"/>
    <w:lvl w:ilvl="0" w:tplc="62363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CBEEA">
      <w:start w:val="14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7F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C0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88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07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C8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E6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88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1E84"/>
    <w:multiLevelType w:val="hybridMultilevel"/>
    <w:tmpl w:val="023036DA"/>
    <w:lvl w:ilvl="0" w:tplc="A5E84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4470"/>
    <w:multiLevelType w:val="hybridMultilevel"/>
    <w:tmpl w:val="8A06AE42"/>
    <w:lvl w:ilvl="0" w:tplc="A1409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C55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A1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CD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5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A4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A9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C4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6C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056D"/>
    <w:multiLevelType w:val="hybridMultilevel"/>
    <w:tmpl w:val="A308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05988"/>
    <w:multiLevelType w:val="hybridMultilevel"/>
    <w:tmpl w:val="ED2656D8"/>
    <w:lvl w:ilvl="0" w:tplc="71927E2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8CE4FC1"/>
    <w:multiLevelType w:val="hybridMultilevel"/>
    <w:tmpl w:val="C37847A4"/>
    <w:lvl w:ilvl="0" w:tplc="C3CC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AF9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08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E6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6B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EFD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C0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C0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D07C2"/>
    <w:multiLevelType w:val="hybridMultilevel"/>
    <w:tmpl w:val="BA82C3EA"/>
    <w:lvl w:ilvl="0" w:tplc="0E2E5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F200F"/>
    <w:multiLevelType w:val="hybridMultilevel"/>
    <w:tmpl w:val="399C650A"/>
    <w:lvl w:ilvl="0" w:tplc="B1CE9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84A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8A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40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8D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4D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81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8C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E6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04060"/>
    <w:multiLevelType w:val="hybridMultilevel"/>
    <w:tmpl w:val="EBE8E26C"/>
    <w:lvl w:ilvl="0" w:tplc="7192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A628E"/>
    <w:multiLevelType w:val="hybridMultilevel"/>
    <w:tmpl w:val="7286FEFA"/>
    <w:lvl w:ilvl="0" w:tplc="71927E2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E3E47EF"/>
    <w:multiLevelType w:val="hybridMultilevel"/>
    <w:tmpl w:val="CF3A8A96"/>
    <w:lvl w:ilvl="0" w:tplc="2640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20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0F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3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A3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0D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07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4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257DA5"/>
    <w:multiLevelType w:val="hybridMultilevel"/>
    <w:tmpl w:val="EAEAC882"/>
    <w:lvl w:ilvl="0" w:tplc="A35C6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8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A3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4F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45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C3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6B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62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47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00C46"/>
    <w:multiLevelType w:val="hybridMultilevel"/>
    <w:tmpl w:val="14181CF8"/>
    <w:lvl w:ilvl="0" w:tplc="BF280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41C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47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01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A5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2B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8D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D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80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D35DC"/>
    <w:multiLevelType w:val="hybridMultilevel"/>
    <w:tmpl w:val="FCAE2D5E"/>
    <w:lvl w:ilvl="0" w:tplc="DDC45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05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22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E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6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4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A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C9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2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A31AEA"/>
    <w:multiLevelType w:val="hybridMultilevel"/>
    <w:tmpl w:val="B074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31FD0"/>
    <w:multiLevelType w:val="hybridMultilevel"/>
    <w:tmpl w:val="397E1A88"/>
    <w:lvl w:ilvl="0" w:tplc="2B549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CD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2E3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C3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A13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2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0C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6B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EC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6"/>
  </w:num>
  <w:num w:numId="8">
    <w:abstractNumId w:val="8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  <w:num w:numId="18">
    <w:abstractNumId w:val="14"/>
  </w:num>
  <w:num w:numId="19">
    <w:abstractNumId w:val="10"/>
  </w:num>
  <w:num w:numId="20">
    <w:abstractNumId w:val="15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1A2"/>
    <w:rsid w:val="000125E7"/>
    <w:rsid w:val="00043B0D"/>
    <w:rsid w:val="00052027"/>
    <w:rsid w:val="00064A94"/>
    <w:rsid w:val="00074B34"/>
    <w:rsid w:val="000853A5"/>
    <w:rsid w:val="000D423A"/>
    <w:rsid w:val="00112206"/>
    <w:rsid w:val="00160F24"/>
    <w:rsid w:val="001A7AEA"/>
    <w:rsid w:val="001B2BED"/>
    <w:rsid w:val="001B5E1D"/>
    <w:rsid w:val="00204BE6"/>
    <w:rsid w:val="00210569"/>
    <w:rsid w:val="0024352B"/>
    <w:rsid w:val="00265FB7"/>
    <w:rsid w:val="00285102"/>
    <w:rsid w:val="002A3A0E"/>
    <w:rsid w:val="002D34F2"/>
    <w:rsid w:val="0030739C"/>
    <w:rsid w:val="003172C8"/>
    <w:rsid w:val="003216CE"/>
    <w:rsid w:val="00374C1A"/>
    <w:rsid w:val="0037586E"/>
    <w:rsid w:val="003E1D3C"/>
    <w:rsid w:val="00427107"/>
    <w:rsid w:val="00440B0C"/>
    <w:rsid w:val="00462487"/>
    <w:rsid w:val="00467767"/>
    <w:rsid w:val="0048441F"/>
    <w:rsid w:val="00490ABE"/>
    <w:rsid w:val="00500F1E"/>
    <w:rsid w:val="00530168"/>
    <w:rsid w:val="00531E66"/>
    <w:rsid w:val="005D4054"/>
    <w:rsid w:val="00631B66"/>
    <w:rsid w:val="0063297E"/>
    <w:rsid w:val="00634AEA"/>
    <w:rsid w:val="00636B0B"/>
    <w:rsid w:val="006D6384"/>
    <w:rsid w:val="006F1953"/>
    <w:rsid w:val="00733B98"/>
    <w:rsid w:val="00761B67"/>
    <w:rsid w:val="00777028"/>
    <w:rsid w:val="0079625E"/>
    <w:rsid w:val="007B30F9"/>
    <w:rsid w:val="00800290"/>
    <w:rsid w:val="0084291D"/>
    <w:rsid w:val="008A41A2"/>
    <w:rsid w:val="008D13E5"/>
    <w:rsid w:val="008D27CF"/>
    <w:rsid w:val="008F282D"/>
    <w:rsid w:val="008F6AB3"/>
    <w:rsid w:val="00907398"/>
    <w:rsid w:val="00914D89"/>
    <w:rsid w:val="00927C5A"/>
    <w:rsid w:val="00930E9D"/>
    <w:rsid w:val="00982DA0"/>
    <w:rsid w:val="009C3AAB"/>
    <w:rsid w:val="009D7856"/>
    <w:rsid w:val="00A23FB4"/>
    <w:rsid w:val="00A55022"/>
    <w:rsid w:val="00A56DC5"/>
    <w:rsid w:val="00A57F72"/>
    <w:rsid w:val="00B054A3"/>
    <w:rsid w:val="00B16F24"/>
    <w:rsid w:val="00B8666F"/>
    <w:rsid w:val="00BA771D"/>
    <w:rsid w:val="00BD25FF"/>
    <w:rsid w:val="00BE2301"/>
    <w:rsid w:val="00C24413"/>
    <w:rsid w:val="00C36198"/>
    <w:rsid w:val="00CC7CAD"/>
    <w:rsid w:val="00D14BF3"/>
    <w:rsid w:val="00D64313"/>
    <w:rsid w:val="00DB1293"/>
    <w:rsid w:val="00E4186C"/>
    <w:rsid w:val="00E722C0"/>
    <w:rsid w:val="00EA35B3"/>
    <w:rsid w:val="00EA3727"/>
    <w:rsid w:val="00EC13F0"/>
    <w:rsid w:val="00F110F7"/>
    <w:rsid w:val="00F972E6"/>
    <w:rsid w:val="00FA036C"/>
    <w:rsid w:val="00FB1BD0"/>
    <w:rsid w:val="00F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43E3B"/>
  <w15:docId w15:val="{E0C58C0E-15B4-4E3E-BD70-412BB138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Text grey"/>
    <w:qFormat/>
    <w:rsid w:val="00BD25FF"/>
    <w:pPr>
      <w:spacing w:line="300" w:lineRule="exact"/>
      <w:jc w:val="both"/>
    </w:pPr>
    <w:rPr>
      <w:color w:val="000000"/>
      <w:szCs w:val="24"/>
    </w:rPr>
  </w:style>
  <w:style w:type="paragraph" w:styleId="Nadpis1">
    <w:name w:val="heading 1"/>
    <w:basedOn w:val="Normln"/>
    <w:next w:val="Normln"/>
    <w:link w:val="Nadpis1Char"/>
    <w:qFormat/>
    <w:rsid w:val="00BD2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BD25FF"/>
    <w:pPr>
      <w:tabs>
        <w:tab w:val="right" w:leader="dot" w:pos="9062"/>
      </w:tabs>
      <w:spacing w:after="100"/>
    </w:pPr>
    <w:rPr>
      <w:rFonts w:eastAsia="Calibri"/>
      <w:b/>
      <w:noProof/>
      <w:u w:val="single"/>
      <w:lang w:eastAsia="en-US"/>
    </w:rPr>
  </w:style>
  <w:style w:type="paragraph" w:styleId="Obsah2">
    <w:name w:val="toc 2"/>
    <w:basedOn w:val="Normln"/>
    <w:next w:val="Normln"/>
    <w:autoRedefine/>
    <w:uiPriority w:val="39"/>
    <w:qFormat/>
    <w:rsid w:val="00BD25FF"/>
    <w:pPr>
      <w:spacing w:after="100"/>
      <w:ind w:left="220"/>
    </w:pPr>
    <w:rPr>
      <w:rFonts w:eastAsia="Calibri"/>
      <w:u w:val="single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D25FF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Podnadpis">
    <w:name w:val="Subtitle"/>
    <w:basedOn w:val="Normln"/>
    <w:next w:val="Normln"/>
    <w:link w:val="PodnadpisChar"/>
    <w:qFormat/>
    <w:rsid w:val="00BD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BD2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BD25FF"/>
    <w:rPr>
      <w:b/>
      <w:bCs/>
    </w:rPr>
  </w:style>
  <w:style w:type="paragraph" w:styleId="Bezmezer">
    <w:name w:val="No Spacing"/>
    <w:link w:val="BezmezerChar"/>
    <w:uiPriority w:val="1"/>
    <w:qFormat/>
    <w:rsid w:val="00BD25FF"/>
    <w:rPr>
      <w:rFonts w:asciiTheme="minorHAnsi" w:eastAsiaTheme="minorEastAsia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BD25FF"/>
    <w:rPr>
      <w:rFonts w:asciiTheme="minorHAnsi" w:eastAsiaTheme="minorEastAsia" w:hAnsiTheme="minorHAnsi" w:cstheme="minorBidi"/>
    </w:rPr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BD25FF"/>
    <w:pPr>
      <w:spacing w:line="240" w:lineRule="auto"/>
      <w:ind w:left="720"/>
      <w:contextualSpacing/>
      <w:jc w:val="left"/>
    </w:pPr>
    <w:rPr>
      <w:rFonts w:ascii="Times New Roman" w:hAnsi="Times New Roman"/>
      <w:color w:val="auto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25FF"/>
    <w:pPr>
      <w:spacing w:line="276" w:lineRule="auto"/>
      <w:jc w:val="left"/>
      <w:outlineLvl w:val="9"/>
    </w:pPr>
  </w:style>
  <w:style w:type="paragraph" w:styleId="Nzev">
    <w:name w:val="Title"/>
    <w:basedOn w:val="Normln"/>
    <w:next w:val="Normln"/>
    <w:link w:val="NzevChar"/>
    <w:qFormat/>
    <w:rsid w:val="00BD2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D2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rsid w:val="0011220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12206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112206"/>
    <w:rPr>
      <w:vertAlign w:val="superscript"/>
    </w:r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99"/>
    <w:qFormat/>
    <w:rsid w:val="0037586E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rsid w:val="006329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638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500F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00F1E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B16F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6F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6F2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6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6F2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els/health-systems/antimicrobial-resistance.htm" TargetMode="External"/><Relationship Id="rId13" Type="http://schemas.openxmlformats.org/officeDocument/2006/relationships/hyperlink" Target="https://www.who.int/hrh/migration/int-platform-hw-mobility/en/" TargetMode="External"/><Relationship Id="rId3" Type="http://schemas.openxmlformats.org/officeDocument/2006/relationships/hyperlink" Target="https://www.oecd.org/health/health-systems/primary-care.htm" TargetMode="External"/><Relationship Id="rId7" Type="http://schemas.openxmlformats.org/officeDocument/2006/relationships/hyperlink" Target="http://www.oecd.org/officialdocuments/publicdisplaydocumentpdf/?cote=DELSA/HEA/WD/HWP(2019)3&amp;docLanguage=En" TargetMode="External"/><Relationship Id="rId12" Type="http://schemas.openxmlformats.org/officeDocument/2006/relationships/hyperlink" Target="http://www.oecd.org/health/health-systems/workforce.htm" TargetMode="External"/><Relationship Id="rId17" Type="http://schemas.openxmlformats.org/officeDocument/2006/relationships/hyperlink" Target="https://www.oecd.org/health/health-systems/public-health-reviews.htm" TargetMode="External"/><Relationship Id="rId2" Type="http://schemas.openxmlformats.org/officeDocument/2006/relationships/hyperlink" Target="https://www.oecd.org/els/health-systems/health-data.htm" TargetMode="External"/><Relationship Id="rId16" Type="http://schemas.openxmlformats.org/officeDocument/2006/relationships/hyperlink" Target="https://www.oecd.org/els/health-systems/reviews-health-systems.htm" TargetMode="External"/><Relationship Id="rId1" Type="http://schemas.openxmlformats.org/officeDocument/2006/relationships/hyperlink" Target="https://www.oecd.org/health/health-systems/health-care-quality-framework.htm" TargetMode="External"/><Relationship Id="rId6" Type="http://schemas.openxmlformats.org/officeDocument/2006/relationships/hyperlink" Target="https://www.oecd.org/health/health-publications.htm" TargetMode="External"/><Relationship Id="rId11" Type="http://schemas.openxmlformats.org/officeDocument/2006/relationships/hyperlink" Target="http://www.oecd.org/health/health-systems/OECD-Mental-Health-Performance-Framework-2019.pdf" TargetMode="External"/><Relationship Id="rId5" Type="http://schemas.openxmlformats.org/officeDocument/2006/relationships/hyperlink" Target="http://www.oecd.org/els/health-systems/health-working-papers.htm" TargetMode="External"/><Relationship Id="rId15" Type="http://schemas.openxmlformats.org/officeDocument/2006/relationships/hyperlink" Target="http://www.oecd.org/els/health-systems/health-data.htm" TargetMode="External"/><Relationship Id="rId10" Type="http://schemas.openxmlformats.org/officeDocument/2006/relationships/hyperlink" Target="http://www.oecd.org/health/dementia.htm" TargetMode="External"/><Relationship Id="rId4" Type="http://schemas.openxmlformats.org/officeDocument/2006/relationships/hyperlink" Target="https://www.oecd.org/health/health-systems/OECD-Policy-Brief-Primary-Health-Care-May-2019.pdf" TargetMode="External"/><Relationship Id="rId9" Type="http://schemas.openxmlformats.org/officeDocument/2006/relationships/hyperlink" Target="https://www.oecd.org/health/health-systems/public-health-reviews.htm" TargetMode="External"/><Relationship Id="rId14" Type="http://schemas.openxmlformats.org/officeDocument/2006/relationships/hyperlink" Target="https://www.oecd.org/going-digital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BE5F-CB22-4400-BE82-B9ECC91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13</Pages>
  <Words>4290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Mudroňka František Mgr.</dc:creator>
  <cp:keywords/>
  <dc:description/>
  <cp:lastModifiedBy>Mudroňka František Mgr.</cp:lastModifiedBy>
  <cp:revision>18</cp:revision>
  <cp:lastPrinted>2019-09-25T14:53:00Z</cp:lastPrinted>
  <dcterms:created xsi:type="dcterms:W3CDTF">2019-08-30T10:26:00Z</dcterms:created>
  <dcterms:modified xsi:type="dcterms:W3CDTF">2019-10-16T13:27:00Z</dcterms:modified>
</cp:coreProperties>
</file>