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K jednání Komise pro výživu kojenců a malých dětí 10. 6. 2025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Times New Roman" w:cs="Times New Roman" w:eastAsia="Times New Roman" w:hAnsi="Times New Roman"/>
          <w:i w:val="1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Vzhledem k tomu, že se nemohu osobně zúčastnit jednání Komise 10. 6. 2025, zasílám tímto písemné stanovisko a návrh usnesení. Prosím o rozeslání či vytištění členstvu Komise a zároveň přečtení na jednání.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i w:val="1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ab/>
        <w:t xml:space="preserve">Předem děkuji za součinnost,</w:t>
      </w:r>
    </w:p>
    <w:p w:rsidR="00000000" w:rsidDel="00000000" w:rsidP="00000000" w:rsidRDefault="00000000" w:rsidRPr="00000000" w14:paraId="00000005">
      <w:pPr>
        <w:ind w:left="5040" w:firstLine="0"/>
        <w:rPr>
          <w:rFonts w:ascii="Times New Roman" w:cs="Times New Roman" w:eastAsia="Times New Roman" w:hAnsi="Times New Roman"/>
          <w:i w:val="1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Ing. Andrea Kredbová 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b w:val="1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u w:val="single"/>
          <w:rtl w:val="0"/>
        </w:rPr>
        <w:t xml:space="preserve">Ad bod 3 programu - Kulatý stůl Výživa kojenců a malých dětí vs. marketing: Jak efektivně chránit zdraví žen a dětí? v PSP ČR</w:t>
      </w:r>
    </w:p>
    <w:p w:rsidR="00000000" w:rsidDel="00000000" w:rsidP="00000000" w:rsidRDefault="00000000" w:rsidRPr="00000000" w14:paraId="00000009">
      <w:pPr>
        <w:spacing w:after="240" w:befor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Chtěla bych jménem spolku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SpoKojení, z. s.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velmi ocenit organizátory kulatého stolu 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Výživa kojenců a malých dětí vs. marketing: Jak efektivně chránit zdraví žen a dětí?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který se uskutečnil v Poslanecké sněmovně Parlamentu České republiky.</w:t>
      </w:r>
    </w:p>
    <w:p w:rsidR="00000000" w:rsidDel="00000000" w:rsidP="00000000" w:rsidRDefault="00000000" w:rsidRPr="00000000" w14:paraId="0000000A">
      <w:pPr>
        <w:spacing w:after="240" w:befor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Tuto akci považujeme za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významný milník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který umožnil otevřenou a odborně podloženou debatu v prostředí, jež zohledňuje jak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mezinárodní doporučení a zkušenosti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tak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český právní a politický kontext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 Zvlášť důležité bylo, že se u jednoho stolu setkali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zástupci a zástupkyně různých politických stran, státní správy, zdravotnického i neziskového sektoru,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a že debata probíhala v respektujícím a konstruktivním duchu.</w:t>
      </w:r>
    </w:p>
    <w:p w:rsidR="00000000" w:rsidDel="00000000" w:rsidP="00000000" w:rsidRDefault="00000000" w:rsidRPr="00000000" w14:paraId="0000000B">
      <w:pPr>
        <w:spacing w:after="240" w:befor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Velmi pozitivně hodnotíme také skutečnost, že jednotliví účastníci a účastnice transparentně deklarovali svou případnou vazbu na komerční subjekty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a otevřeně informovali o svém odborném působení. Tento přístup odpovídá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mezinárodním standardům v oblasti etiky, veřejného zdraví a ochrany zájmů zranitelných skupin.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Věříme, že právě taková transparentnost a otevřenost je klíčová pro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posilování důvěry odborné i laické veřejnosti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a pro vytváření prostředí, kde má odborná diskuse skutečnou váhu.</w:t>
      </w:r>
    </w:p>
    <w:p w:rsidR="00000000" w:rsidDel="00000000" w:rsidP="00000000" w:rsidRDefault="00000000" w:rsidRPr="00000000" w14:paraId="0000000C">
      <w:pPr>
        <w:spacing w:after="240" w:befor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Jsme přesvědčeni, že poznatky a podněty, které během tohoto kulatého stolu zazněly, mohou obohatit také další práci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Komise pro výživu kojenců a malých dětí. </w:t>
      </w:r>
    </w:p>
    <w:p w:rsidR="00000000" w:rsidDel="00000000" w:rsidP="00000000" w:rsidRDefault="00000000" w:rsidRPr="00000000" w14:paraId="0000000D">
      <w:pPr>
        <w:spacing w:after="240" w:befor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Za spolek SpoKojení děkujeme za možnost být u toho – a těšíme se na další systémové kroky ve prospěch zdraví nejmenších dětí a jejich rodičů.</w:t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b w:val="1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u w:val="single"/>
          <w:rtl w:val="0"/>
        </w:rPr>
        <w:t xml:space="preserve">K zaslané Analýze dodržování Mezinárodního kodexu marketingu náhrad mateřského mléka prostřednictvím protokolu NetCode (Státní zdravotní ústav) </w:t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Velmi oceňujeme, že v České republice byla realizována analýza podle protokolu NetCode.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Ke zveřejněné zprávě však máme několik připomínek a je nám líto, že jsme neměli možnost se s jejím obsahem seznámit předem, aby bylo možné některé záležitosti upravit ještě před jejím zveřejněním.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Níže zmíněné nedostatky pak zbytečně velmi potřebnou analýzu, která obsahuje řadu zajímavých zjištění, degradují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– mohou vést ke zpochybnění jinak velmi potřebného obsahu i ke zmatení veřejnosti (viz analýza právního stavu v ČR a postavení Kodexu v mezinárodním právu). Vzhledem k citlivosti tématu a důležitosti regulace marketingu v oblasti výživy kojenců je právě preciznost a věcná přesnost zásadní.</w:t>
      </w:r>
    </w:p>
    <w:p w:rsidR="00000000" w:rsidDel="00000000" w:rsidP="00000000" w:rsidRDefault="00000000" w:rsidRPr="00000000" w14:paraId="00000013">
      <w:pPr>
        <w:ind w:left="0" w:firstLine="0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Doporučení WHO i Ministerstva zdravotnictví ke kojení </w:t>
      </w:r>
    </w:p>
    <w:p w:rsidR="00000000" w:rsidDel="00000000" w:rsidP="00000000" w:rsidRDefault="00000000" w:rsidRPr="00000000" w14:paraId="00000015">
      <w:pPr>
        <w:ind w:left="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Na str. 5 (Slovo úvodem) se uvádí, že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„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a"/>
          <w:rtl w:val="0"/>
        </w:rPr>
        <w:t xml:space="preserve">Světová zdravotnická organizace doporučuje výhradně kojit do ukončeného šestého měsíce a kojit i nadále s příkrmy do 2 let věku dítěte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.“ Obdobně pak str. 129 a následující. Tato nepřesnost byla následně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reprodukována i v návazné tiskové zprávě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Státního zdravotního ústavu. Světová zdravotická organizace i Ministerstvo zdravotnictví přitom doporučují kojit s komplementární stravou do dvou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u w:val="single"/>
          <w:rtl w:val="0"/>
        </w:rPr>
        <w:t xml:space="preserve">a více let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dítěte. I z tohoto důvodu Mezinárodní kodex marketingu reguluje reklamu na komerční dětskou výživu do 3 let věku dítěte. </w:t>
      </w:r>
    </w:p>
    <w:p w:rsidR="00000000" w:rsidDel="00000000" w:rsidP="00000000" w:rsidRDefault="00000000" w:rsidRPr="00000000" w14:paraId="00000017">
      <w:pPr>
        <w:ind w:left="0" w:firstLine="0"/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Dovolujeme si upozornit, že výroky typu „pokračovat v kojení až do dvou let věku dítěte“ jsou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 typické pro průmysl komerční dětské výživy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(namátkou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banner Nutrilonu v lékárně Benu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, </w:t>
      </w: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poradna Nutriclubu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, </w:t>
      </w:r>
      <w:hyperlink r:id="rId9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Nestlé Baby Club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apod.). Otázkou ovšem je, proč je přejímá Státní zdravotní ústav. </w:t>
      </w:r>
    </w:p>
    <w:p w:rsidR="00000000" w:rsidDel="00000000" w:rsidP="00000000" w:rsidRDefault="00000000" w:rsidRPr="00000000" w14:paraId="00000019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2"/>
          <w:szCs w:val="22"/>
        </w:rPr>
        <w:drawing>
          <wp:inline distB="114300" distT="114300" distL="114300" distR="114300">
            <wp:extent cx="5945690" cy="1208793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5690" cy="12087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Na druhou stranu je pro úplnost nutné upozornit, že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část komerčních společnosti reflektuje pouze doporučení k výlučnému kojení do ukončeného 6. měsíce věku dítěte či vůbec toto doporučení nezmiňuje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(srov. tvrzení Analýzy ze strany 115 -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„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tato upozornění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[na webových stránkách] 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jsou v souladu s doporučeními WHO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). </w:t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3723012" cy="2855335"/>
            <wp:effectExtent b="0" l="0" r="0" t="0"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23012" cy="28553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3896042" cy="2496911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96042" cy="24969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4924108" cy="2221953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24108" cy="22219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Hami:</w:t>
      </w:r>
    </w:p>
    <w:p w:rsidR="00000000" w:rsidDel="00000000" w:rsidP="00000000" w:rsidRDefault="00000000" w:rsidRPr="00000000" w14:paraId="00000023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</w:rPr>
        <w:drawing>
          <wp:inline distB="114300" distT="114300" distL="114300" distR="114300">
            <wp:extent cx="5760410" cy="2933700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ind w:left="720" w:hanging="360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Status Kodexu v mezinárodním právu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Times New Roman" w:cs="Times New Roman" w:eastAsia="Times New Roman" w:hAnsi="Times New Roman"/>
          <w:b w:val="1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Na str. 8 Analýzy se uvádí, že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„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Kodex má status doporučení, členské státy nejsou povinny začlenit jeho ustanovení do vlastní legislativy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“; obdobně pak na str. 10 „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a"/>
          <w:rtl w:val="0"/>
        </w:rPr>
        <w:t xml:space="preserve">Vzhledem k tomu, že Kodex má status doporučení, nejsou je členské země povinny zapracovat do svých právních předpisů.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​​“ Přestože je pravdou, že Kodex byl skutečně v roce 1981 přijat jako doporučení, protože v době projednávání měly členské státy za to, že jednoznačná vůle členských států bude stačit k tomu, aby mu dodala dostatečnou váhu. Nicméně vzhledem k tomu, že se tento předpoklad nenaplnil, postupně se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změnila i jeho pozice z hlediska mezinárodního práva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. V mezičase byla přijata Úmluva OSN o právech dítěte a jak výslovně uvádí Výbor OSN pro práva dítěte např. ve svých obecných komentářích z roku 2013, státy mají povinnost implementovat Kodex do svého právního řádu.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Není zřejmé, proč se Státní zdravotní ústav od této (i vládou ČR) akceptované interpretace Úmluvy OSN o právech dítěte odklonil. </w:t>
      </w:r>
    </w:p>
    <w:p w:rsidR="00000000" w:rsidDel="00000000" w:rsidP="00000000" w:rsidRDefault="00000000" w:rsidRPr="00000000" w14:paraId="00000028">
      <w:pPr>
        <w:rPr>
          <w:rFonts w:ascii="Times New Roman" w:cs="Times New Roman" w:eastAsia="Times New Roman" w:hAnsi="Times New Roman"/>
          <w:b w:val="1"/>
          <w:color w:val="00000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ind w:left="720" w:hanging="360"/>
        <w:rPr>
          <w:rFonts w:ascii="Arial" w:cs="Arial" w:eastAsia="Arial" w:hAnsi="Arial"/>
          <w:b w:val="1"/>
          <w:color w:val="00000a"/>
          <w:sz w:val="22"/>
          <w:szCs w:val="22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2"/>
          <w:szCs w:val="22"/>
          <w:rtl w:val="0"/>
        </w:rPr>
        <w:t xml:space="preserve">Implementace Kodexu v evropském a českém právu</w:t>
      </w:r>
    </w:p>
    <w:p w:rsidR="00000000" w:rsidDel="00000000" w:rsidP="00000000" w:rsidRDefault="00000000" w:rsidRPr="00000000" w14:paraId="0000002A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sz w:val="22"/>
          <w:szCs w:val="22"/>
          <w:rtl w:val="0"/>
        </w:rPr>
        <w:t xml:space="preserve">Není zřejmé, proč na straně 10 místo odkazů na právní předpisy jakožto primární zdroje Analýza cituje 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a"/>
          <w:sz w:val="22"/>
          <w:szCs w:val="22"/>
          <w:rtl w:val="0"/>
        </w:rPr>
        <w:t xml:space="preserve">Příručku pro provozovatele potravinářských podniků k označování potravin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sz w:val="22"/>
          <w:szCs w:val="22"/>
          <w:rtl w:val="0"/>
        </w:rPr>
        <w:t xml:space="preserve">. Dále je záhadou, proč Analýza nejprve cituje český zákon o regulaci reklamy, namísto přímo použitelných evropských nařízení, která tuto oblast upravují - vč. v textu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2"/>
          <w:szCs w:val="22"/>
          <w:rtl w:val="0"/>
        </w:rPr>
        <w:t xml:space="preserve">zmíněných zdravotních a výživových tvrzení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sz w:val="22"/>
          <w:szCs w:val="22"/>
          <w:rtl w:val="0"/>
        </w:rPr>
        <w:t xml:space="preserve">, která jsou nařízeními Komise v přenesené působnosti 2016/127 a 2016/128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2"/>
          <w:szCs w:val="22"/>
          <w:rtl w:val="0"/>
        </w:rPr>
        <w:t xml:space="preserve">v některých případech zakázána zcela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sz w:val="22"/>
          <w:szCs w:val="22"/>
          <w:rtl w:val="0"/>
        </w:rPr>
        <w:t xml:space="preserve">. </w:t>
      </w:r>
    </w:p>
    <w:p w:rsidR="00000000" w:rsidDel="00000000" w:rsidP="00000000" w:rsidRDefault="00000000" w:rsidRPr="00000000" w14:paraId="0000002C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Times New Roman" w:cs="Times New Roman" w:eastAsia="Times New Roman" w:hAnsi="Times New Roman"/>
          <w:b w:val="1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4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. Limity Analýzy</w:t>
      </w:r>
    </w:p>
    <w:p w:rsidR="00000000" w:rsidDel="00000000" w:rsidP="00000000" w:rsidRDefault="00000000" w:rsidRPr="00000000" w14:paraId="0000002F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Strana 78 vyčítá metodice zaměřené na ochranu kojení, že neobsahuje také podporu kojení – na kterou však logicky takto zaměřený dokument ani nemíří. Je důležité rozlišovat mezi ochranou, podporou a propagací kojení, které tvoří tři odlišné, i když propojené pilíře přístupu doporučovaného WHO. Metodika, jejímž cílem je sledovat dodržování pravidel ochrany před komerčním vlivem, se tedy nutně soustředí na oblast regulace marketingu a není nástrojem podpory ve smyslu poradenství či vytváření podmínek pro kojení.</w:t>
      </w:r>
    </w:p>
    <w:p w:rsidR="00000000" w:rsidDel="00000000" w:rsidP="00000000" w:rsidRDefault="00000000" w:rsidRPr="00000000" w14:paraId="00000030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Limitem Analýzy z našeho pohledu je to, že:</w:t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kriticky nezkoumá otevřené odpovědi zdravotníků zdravotníků a zdravotnic a automaticky přebírá jejich tvrzení. Např. to, že „nemalé procento matek přichází do porodnic s rozhodnutím “ (srov. data ÚZIS k umělé výživě při odchodu z porodnice), nebo že „cílovou skupinou již nejsou porodnice“ (možná nejsou již hlavní cílovou skupinou, ale cílovou skupinou nepochybně jsou, jak ukazují právě i data z analýzy) či že „díky těmto společnostem nyní máme umělé mléko, které prošlo obrovským vývojem a je podobné mateřskému mléku“ (což je v zásadě marketingové tvrzení komerčních společností, nikoliv skutečnost). </w:t>
      </w:r>
    </w:p>
    <w:p w:rsidR="00000000" w:rsidDel="00000000" w:rsidP="00000000" w:rsidRDefault="00000000" w:rsidRPr="00000000" w14:paraId="00000032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zatímco rozšiřuje působnost na některé formy digitálního marketingu, opomíjí různé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aplikace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komerčních společností cílící již na těhotné ženy, které i odborná literatura považuje za zásadní kanál k rodičům. (viz Hastings, G. - Angus, A.: 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Selling Second Best, </w:t>
        </w:r>
      </w:hyperlink>
      <w:hyperlink r:id="rId16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how infant formula marketing works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)</w:t>
      </w:r>
    </w:p>
    <w:p w:rsidR="00000000" w:rsidDel="00000000" w:rsidP="00000000" w:rsidRDefault="00000000" w:rsidRPr="00000000" w14:paraId="00000033">
      <w:pPr>
        <w:rPr>
          <w:rFonts w:ascii="Times New Roman" w:cs="Times New Roman" w:eastAsia="Times New Roman" w:hAnsi="Times New Roman"/>
          <w:b w:val="1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5. Závěrečná doporučení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</w:t>
      </w:r>
    </w:p>
    <w:p w:rsidR="00000000" w:rsidDel="00000000" w:rsidP="00000000" w:rsidRDefault="00000000" w:rsidRPr="00000000" w14:paraId="00000035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Jakkoliv oceňujeme snahu o širší záběr doporučení z Analýzy, autoři si zjevně neuvědomili, že se přece jen jedná primárně o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analýzu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o ochraně kojení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, přičemž závěry právě k ochraně kojení mohou snadno pro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množství doporučení týkající se podpory a propagace kojení (které však analýza do hloubky nezkoumala, neboť k tomu NetCode není a priori určený)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snadno zapadnout. </w:t>
      </w:r>
    </w:p>
    <w:p w:rsidR="00000000" w:rsidDel="00000000" w:rsidP="00000000" w:rsidRDefault="00000000" w:rsidRPr="00000000" w14:paraId="00000037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Nelze se pak ztotožnit se subjektivním hodnocením, že „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a"/>
          <w:rtl w:val="0"/>
        </w:rPr>
        <w:t xml:space="preserve">současná regulace marketingových aktivit, týkajících se náhrad mateřského mléka, je podle našeho hodnocení komplexní a dostatečně detailní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“. Je otázkou, zda například výzkumníci nahlédli do </w:t>
      </w:r>
      <w:hyperlink r:id="rId17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modelového zákona WHO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, když činili tento závěr.</w:t>
      </w:r>
    </w:p>
    <w:p w:rsidR="00000000" w:rsidDel="00000000" w:rsidP="00000000" w:rsidRDefault="00000000" w:rsidRPr="00000000" w14:paraId="00000039">
      <w:pPr>
        <w:rPr>
          <w:rFonts w:ascii="Times New Roman" w:cs="Times New Roman" w:eastAsia="Times New Roman" w:hAnsi="Times New Roman"/>
          <w:b w:val="1"/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Times New Roman" w:cs="Times New Roman" w:eastAsia="Times New Roman" w:hAnsi="Times New Roman"/>
          <w:b w:val="1"/>
          <w:color w:val="00000a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sz w:val="22"/>
          <w:szCs w:val="22"/>
          <w:rtl w:val="0"/>
        </w:rPr>
        <w:t xml:space="preserve">6. Různé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zastaralost dat: Je otázkou, proč Analýza cituje Zprávu WHO/UNICEF/IBFAN z roku 2020, neboť tato zpráva se vydává každé dva roky a </w:t>
      </w:r>
      <w:hyperlink r:id="rId18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aktuální je z roku 2024</w:t>
        </w:r>
      </w:hyperlink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.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ind w:left="720" w:hanging="360"/>
        <w:rPr>
          <w:rFonts w:ascii="Arial" w:cs="Arial" w:eastAsia="Arial" w:hAnsi="Arial"/>
          <w:b w:val="1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Nevhodná terminologie: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V textu Analýzy se pak mj. vyskytuje nepřesná terminologie jako např. „mléčné výrobky“ (str. 9), přičemž komerční dětská výživa není nutně založena na kravském mléce, vyskytují se i vegetariánské variace (ze soji, apod.), „laktační sestra“ (str. 44), či nepříliš často používaný pojem „kojivost“ (str. 78)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ind w:left="720" w:hanging="360"/>
        <w:rPr>
          <w:rFonts w:ascii="Arial" w:cs="Arial" w:eastAsia="Arial" w:hAnsi="Arial"/>
          <w:b w:val="1"/>
          <w:color w:val="00000a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a"/>
          <w:rtl w:val="0"/>
        </w:rPr>
        <w:t xml:space="preserve">leták o kojení od společnosti HiPP vyhodnocen jako souladný s Kodexem (str. 65 ): </w:t>
      </w:r>
      <w:r w:rsidDel="00000000" w:rsidR="00000000" w:rsidRPr="00000000">
        <w:rPr>
          <w:rFonts w:ascii="Times New Roman" w:cs="Times New Roman" w:eastAsia="Times New Roman" w:hAnsi="Times New Roman"/>
          <w:color w:val="00000a"/>
          <w:rtl w:val="0"/>
        </w:rPr>
        <w:t xml:space="preserve">Letáky od společnosti Hipp, které jsme doposud viděli, byly v rozporu s Kodexem. Bylo by možné upřesnit, jak byl posouzen jeho soulad? </w:t>
      </w:r>
    </w:p>
    <w:p w:rsidR="00000000" w:rsidDel="00000000" w:rsidP="00000000" w:rsidRDefault="00000000" w:rsidRPr="00000000" w14:paraId="0000003E">
      <w:pPr>
        <w:rPr>
          <w:rFonts w:ascii="Times New Roman" w:cs="Times New Roman" w:eastAsia="Times New Roman" w:hAnsi="Times New Roman"/>
          <w:color w:val="00000a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 výše uvedených důvodů tedy navrhujeme toto usnesení: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</w:r>
    </w:p>
    <w:p w:rsidR="00000000" w:rsidDel="00000000" w:rsidP="00000000" w:rsidRDefault="00000000" w:rsidRPr="00000000" w14:paraId="00000041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Komise pro výživu kojenců a malých dětí</w:t>
      </w:r>
    </w:p>
    <w:p w:rsidR="00000000" w:rsidDel="00000000" w:rsidP="00000000" w:rsidRDefault="00000000" w:rsidRPr="00000000" w14:paraId="00000042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vítá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že byla provedena a zveřejněna 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Analýza dodržování Mezinárodního kodexu marketingu náhrad mateřského mléka prostřednictvím protokolu NetCode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(dále jen 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Analýza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 a oceňuje snahu Ministerstva zdravotnictví, potažmo Státního zdravotního ústavu, o zmapování současné situace v oblasti marketingových praktik;</w:t>
      </w:r>
    </w:p>
    <w:p w:rsidR="00000000" w:rsidDel="00000000" w:rsidP="00000000" w:rsidRDefault="00000000" w:rsidRPr="00000000" w14:paraId="00000043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 politováním konstatuje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že jí text Analýzy nebyl v předstihu zaslán k případným připomínkám, ačkoliv se jedná o téma, které spadá do rámce činnosti Komise, a členstvo Komise o toto žádalo na jednání Komise dne 22. října 2024;</w:t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doporučuje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následující úpravy a doplnění:</w:t>
      </w:r>
    </w:p>
    <w:p w:rsidR="00000000" w:rsidDel="00000000" w:rsidP="00000000" w:rsidRDefault="00000000" w:rsidRPr="00000000" w14:paraId="00000045">
      <w:pPr>
        <w:numPr>
          <w:ilvl w:val="1"/>
          <w:numId w:val="3"/>
        </w:numPr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zajistit, aby doporučení mimo rámec ochrany kojení (tedy zejm. podpora a propagace) nepřekrývaly hlavní výstupy vztahující se k ochraně dle Mezinárodního kodexu marketingu náhrad mateřského mléka a navazujících rezolucí;</w:t>
      </w:r>
    </w:p>
    <w:p w:rsidR="00000000" w:rsidDel="00000000" w:rsidP="00000000" w:rsidRDefault="00000000" w:rsidRPr="00000000" w14:paraId="00000046">
      <w:pPr>
        <w:numPr>
          <w:ilvl w:val="1"/>
          <w:numId w:val="3"/>
        </w:numPr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dát text Analýzy i navazující tiskovou zprávu do souladu s oficiálními doporučeními WHO a Ministerstva zdravotnictví ČR ke kojení, konkrétně že doporučení kojit přetrvává i po druhém roce věku dítěte;</w:t>
      </w:r>
    </w:p>
    <w:p w:rsidR="00000000" w:rsidDel="00000000" w:rsidP="00000000" w:rsidRDefault="00000000" w:rsidRPr="00000000" w14:paraId="00000047">
      <w:pPr>
        <w:numPr>
          <w:ilvl w:val="1"/>
          <w:numId w:val="3"/>
        </w:numPr>
        <w:spacing w:after="0" w:afterAutospacing="0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uvést právní rozbor do souladu se závazky České republiky vyplývajícím z mezinárodního práva i dosavadními vládními dokumentům v této oblasti, zejm. </w:t>
      </w: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Doporučení Rady vlády pro rovnost žen a mužů ke 40. výročí přijetí Mezinárodního kodexu marketingu náhrad mateřského mléka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(usnesení vlády ze dne 27. 9. 2023 č. 719), a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zpřesnit odkazy na evropské a české právní předpisy a jejich obsah;</w:t>
      </w:r>
    </w:p>
    <w:p w:rsidR="00000000" w:rsidDel="00000000" w:rsidP="00000000" w:rsidRDefault="00000000" w:rsidRPr="00000000" w14:paraId="00000048">
      <w:pPr>
        <w:numPr>
          <w:ilvl w:val="1"/>
          <w:numId w:val="3"/>
        </w:numPr>
        <w:spacing w:after="0" w:afterAutospacing="0" w:before="0" w:beforeAutospacing="0" w:lineRule="auto"/>
        <w:ind w:left="1440" w:hanging="360"/>
        <w:rPr>
          <w:rFonts w:ascii="Times New Roman" w:cs="Times New Roman" w:eastAsia="Times New Roman" w:hAnsi="Times New Roman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doplnit stručnou analýzu otevřených odpovědí zdravotnických pracovníků a konfrontovat je s dostupnými daty.</w:t>
      </w:r>
    </w:p>
    <w:p w:rsidR="00000000" w:rsidDel="00000000" w:rsidP="00000000" w:rsidRDefault="00000000" w:rsidRPr="00000000" w14:paraId="00000049">
      <w:pPr>
        <w:numPr>
          <w:ilvl w:val="1"/>
          <w:numId w:val="3"/>
        </w:numPr>
        <w:spacing w:after="0" w:afterAutospacing="0" w:before="0" w:beforeAutospacing="0" w:lineRule="auto"/>
        <w:ind w:left="1440" w:hanging="360"/>
        <w:rPr>
          <w:rFonts w:ascii="Times New Roman" w:cs="Times New Roman" w:eastAsia="Times New Roman" w:hAnsi="Times New Roman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uvést mezi limity Analýzy skutečnost, že nezahrnuje marketing prostřednictvím mobilních aplikací cílených na rodiče.</w:t>
      </w:r>
    </w:p>
    <w:p w:rsidR="00000000" w:rsidDel="00000000" w:rsidP="00000000" w:rsidRDefault="00000000" w:rsidRPr="00000000" w14:paraId="0000004A">
      <w:pPr>
        <w:numPr>
          <w:ilvl w:val="1"/>
          <w:numId w:val="3"/>
        </w:numPr>
        <w:spacing w:after="0" w:afterAutospacing="0" w:before="0" w:beforeAutospacing="0" w:lineRule="auto"/>
        <w:ind w:left="1440" w:hanging="360"/>
        <w:rPr>
          <w:rFonts w:ascii="Times New Roman" w:cs="Times New Roman" w:eastAsia="Times New Roman" w:hAnsi="Times New Roman"/>
          <w:sz w:val="22"/>
          <w:szCs w:val="22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aktualizovat citace dat WHO, UNICEF a IBFAN k implementaci Kodexu v členských státech a zpřesnit v Analýze použitou terminologii.</w:t>
      </w:r>
    </w:p>
    <w:p w:rsidR="00000000" w:rsidDel="00000000" w:rsidP="00000000" w:rsidRDefault="00000000" w:rsidRPr="00000000" w14:paraId="0000004B">
      <w:pPr>
        <w:numPr>
          <w:ilvl w:val="0"/>
          <w:numId w:val="3"/>
        </w:numPr>
        <w:spacing w:after="240" w:before="0" w:beforeAutospacing="0" w:lineRule="auto"/>
        <w:ind w:left="720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žádá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aby Státní zdravotní ústav provedl potřebné změny v Analýze i navazující tiskové zprávě dle bodu 3 a poskytl aktualizovanou verzi Komisi k nahlédnutí před opětovným zveřejněním.</w:t>
      </w:r>
    </w:p>
    <w:p w:rsidR="00000000" w:rsidDel="00000000" w:rsidP="00000000" w:rsidRDefault="00000000" w:rsidRPr="00000000" w14:paraId="0000004C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jc w:val="both"/>
        <w:rPr>
          <w:rFonts w:ascii="Times New Roman" w:cs="Times New Roman" w:eastAsia="Times New Roman" w:hAnsi="Times New Roman"/>
          <w:b w:val="1"/>
          <w:sz w:val="27"/>
          <w:szCs w:val="2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jc w:val="both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sectPr>
      <w:headerReference r:id="rId19" w:type="default"/>
      <w:pgSz w:h="16840" w:w="11900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  <w:font w:name="Courier New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1">
    <w:pPr>
      <w:jc w:val="right"/>
      <w:rPr>
        <w:rFonts w:ascii="Times New Roman" w:cs="Times New Roman" w:eastAsia="Times New Roman" w:hAnsi="Times New Roman"/>
      </w:rPr>
    </w:pPr>
    <w:r w:rsidDel="00000000" w:rsidR="00000000" w:rsidRPr="00000000">
      <w:rPr>
        <w:rtl w:val="0"/>
      </w:rPr>
      <w:tab/>
    </w:r>
    <w:r w:rsidDel="00000000" w:rsidR="00000000" w:rsidRPr="00000000">
      <w:rPr>
        <w:rFonts w:ascii="Courier New" w:cs="Courier New" w:eastAsia="Courier New" w:hAnsi="Courier New"/>
        <w:color w:val="222222"/>
        <w:sz w:val="20"/>
        <w:szCs w:val="20"/>
        <w:highlight w:val="white"/>
        <w:rtl w:val="0"/>
      </w:rPr>
      <w:t xml:space="preserve">Member of the International Baby Food Action Network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4182745</wp:posOffset>
          </wp:positionH>
          <wp:positionV relativeFrom="paragraph">
            <wp:posOffset>-104138</wp:posOffset>
          </wp:positionV>
          <wp:extent cx="1626870" cy="1137285"/>
          <wp:effectExtent b="0" l="0" r="0" t="0"/>
          <wp:wrapTopAndBottom distB="0" distT="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26870" cy="113728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3812</wp:posOffset>
          </wp:positionH>
          <wp:positionV relativeFrom="paragraph">
            <wp:posOffset>0</wp:posOffset>
          </wp:positionV>
          <wp:extent cx="1915592" cy="1150919"/>
          <wp:effectExtent b="0" l="0" r="0" t="0"/>
          <wp:wrapTopAndBottom distB="0" distT="0"/>
          <wp:docPr id="5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15592" cy="115091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  <w:tab w:val="left" w:leader="none" w:pos="2423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cs-CZ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F3D0B"/>
    <w:pPr>
      <w:keepNext w:val="1"/>
      <w:keepLines w:val="1"/>
      <w:spacing w:before="240"/>
      <w:outlineLvl w:val="0"/>
    </w:pPr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F440C8"/>
    <w:pPr>
      <w:ind w:left="720"/>
      <w:contextualSpacing w:val="1"/>
    </w:pPr>
  </w:style>
  <w:style w:type="paragraph" w:styleId="FootnoteText">
    <w:name w:val="footnote text"/>
    <w:basedOn w:val="Normal"/>
    <w:link w:val="FootnoteTextChar"/>
    <w:uiPriority w:val="99"/>
    <w:unhideWhenUsed w:val="1"/>
    <w:rsid w:val="008F3EB5"/>
  </w:style>
  <w:style w:type="character" w:styleId="FootnoteTextChar" w:customStyle="1">
    <w:name w:val="Footnote Text Char"/>
    <w:basedOn w:val="DefaultParagraphFont"/>
    <w:link w:val="FootnoteText"/>
    <w:uiPriority w:val="99"/>
    <w:rsid w:val="008F3EB5"/>
  </w:style>
  <w:style w:type="character" w:styleId="FootnoteReference">
    <w:name w:val="footnote reference"/>
    <w:basedOn w:val="DefaultParagraphFont"/>
    <w:uiPriority w:val="99"/>
    <w:unhideWhenUsed w:val="1"/>
    <w:rsid w:val="008F3EB5"/>
    <w:rPr>
      <w:vertAlign w:val="superscript"/>
    </w:rPr>
  </w:style>
  <w:style w:type="character" w:styleId="Hyperlink">
    <w:name w:val="Hyperlink"/>
    <w:basedOn w:val="DefaultParagraphFont"/>
    <w:uiPriority w:val="99"/>
    <w:semiHidden w:val="1"/>
    <w:unhideWhenUsed w:val="1"/>
    <w:rsid w:val="008F3EB5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 w:val="1"/>
    <w:rsid w:val="0080355D"/>
    <w:pPr>
      <w:tabs>
        <w:tab w:val="center" w:pos="4536"/>
        <w:tab w:val="right" w:pos="9072"/>
      </w:tabs>
    </w:pPr>
  </w:style>
  <w:style w:type="character" w:styleId="HeaderChar" w:customStyle="1">
    <w:name w:val="Header Char"/>
    <w:basedOn w:val="DefaultParagraphFont"/>
    <w:link w:val="Header"/>
    <w:uiPriority w:val="99"/>
    <w:rsid w:val="0080355D"/>
  </w:style>
  <w:style w:type="paragraph" w:styleId="Footer">
    <w:name w:val="footer"/>
    <w:basedOn w:val="Normal"/>
    <w:link w:val="FooterChar"/>
    <w:uiPriority w:val="99"/>
    <w:unhideWhenUsed w:val="1"/>
    <w:rsid w:val="0080355D"/>
    <w:pPr>
      <w:tabs>
        <w:tab w:val="center" w:pos="4536"/>
        <w:tab w:val="right" w:pos="9072"/>
      </w:tabs>
    </w:pPr>
  </w:style>
  <w:style w:type="character" w:styleId="FooterChar" w:customStyle="1">
    <w:name w:val="Footer Char"/>
    <w:basedOn w:val="DefaultParagraphFont"/>
    <w:link w:val="Footer"/>
    <w:uiPriority w:val="99"/>
    <w:rsid w:val="0080355D"/>
  </w:style>
  <w:style w:type="character" w:styleId="il" w:customStyle="1">
    <w:name w:val="il"/>
    <w:basedOn w:val="DefaultParagraphFont"/>
    <w:rsid w:val="003702E3"/>
  </w:style>
  <w:style w:type="character" w:styleId="Heading1Char" w:customStyle="1">
    <w:name w:val="Heading 1 Char"/>
    <w:basedOn w:val="DefaultParagraphFont"/>
    <w:link w:val="Heading1"/>
    <w:uiPriority w:val="9"/>
    <w:rsid w:val="002F3D0B"/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paragraph" w:styleId="DocumentMap">
    <w:name w:val="Document Map"/>
    <w:basedOn w:val="Normal"/>
    <w:link w:val="DocumentMapChar"/>
    <w:uiPriority w:val="99"/>
    <w:semiHidden w:val="1"/>
    <w:unhideWhenUsed w:val="1"/>
    <w:rsid w:val="002F3D0B"/>
    <w:rPr>
      <w:rFonts w:ascii="Times New Roman" w:cs="Times New Roman" w:hAnsi="Times New Roman"/>
    </w:rPr>
  </w:style>
  <w:style w:type="character" w:styleId="DocumentMapChar" w:customStyle="1">
    <w:name w:val="Document Map Char"/>
    <w:basedOn w:val="DefaultParagraphFont"/>
    <w:link w:val="DocumentMap"/>
    <w:uiPriority w:val="99"/>
    <w:semiHidden w:val="1"/>
    <w:rsid w:val="002F3D0B"/>
    <w:rPr>
      <w:rFonts w:ascii="Times New Roman" w:cs="Times New Roman" w:hAnsi="Times New Roman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D878C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D878CD"/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D878CD"/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D878CD"/>
    <w:rPr>
      <w:b w:val="1"/>
      <w:bCs w:val="1"/>
      <w:sz w:val="20"/>
      <w:szCs w:val="20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D878CD"/>
    <w:rPr>
      <w:b w:val="1"/>
      <w:bCs w:val="1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D878CD"/>
    <w:rPr>
      <w:rFonts w:ascii="Times New Roman" w:cs="Times New Roman" w:hAnsi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D878CD"/>
    <w:rPr>
      <w:rFonts w:ascii="Times New Roman" w:cs="Times New Roman" w:hAnsi="Times New Roman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3.png"/><Relationship Id="rId13" Type="http://schemas.openxmlformats.org/officeDocument/2006/relationships/image" Target="media/image4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nestlebaby.cz/?gad_source=1&amp;gad_campaignid=1018815542&amp;gbraid=0AAAAADrTecD_Q--rCZopayl8lpBSP_soN&amp;gclid=Cj0KCQjwjJrCBhCXARIsAI5x66VK5mZ2lFXf_BMnCDaK9sY1vDAopZyQ2U3ZDaZS_nWI7_pPf7_EpUsaAhhEEALw_wcB#footer__disclaimer" TargetMode="External"/><Relationship Id="rId15" Type="http://schemas.openxmlformats.org/officeDocument/2006/relationships/hyperlink" Target="https://globalizationandhealth.biomedcentral.com/articles/10.1186/s12992-020-00597-w" TargetMode="External"/><Relationship Id="rId14" Type="http://schemas.openxmlformats.org/officeDocument/2006/relationships/image" Target="media/image6.png"/><Relationship Id="rId17" Type="http://schemas.openxmlformats.org/officeDocument/2006/relationships/hyperlink" Target="https://www.who.int/europe/publications/i/item/WHO-EURO-2022-4885-44648-63367" TargetMode="External"/><Relationship Id="rId16" Type="http://schemas.openxmlformats.org/officeDocument/2006/relationships/hyperlink" Target="https://globalizationandhealth.biomedcentral.com/articles/10.1186/s12992-020-00597-w" TargetMode="External"/><Relationship Id="rId5" Type="http://schemas.openxmlformats.org/officeDocument/2006/relationships/styles" Target="styles.xml"/><Relationship Id="rId19" Type="http://schemas.openxmlformats.org/officeDocument/2006/relationships/header" Target="header1.xml"/><Relationship Id="rId6" Type="http://schemas.openxmlformats.org/officeDocument/2006/relationships/customXml" Target="../customXML/item1.xml"/><Relationship Id="rId18" Type="http://schemas.openxmlformats.org/officeDocument/2006/relationships/hyperlink" Target="https://www.who.int/publications/i/item/9789240094482" TargetMode="External"/><Relationship Id="rId7" Type="http://schemas.openxmlformats.org/officeDocument/2006/relationships/hyperlink" Target="https://www.benu.cz/data/banners/1_233215.jpg?fbclid=IwY2xjawK0LZ9leHRuA2FlbQIxMABicmlkETFIdVhSVU9YQXQxMVRmNUI4AR5cvSeiQOh-JqKZCSeMlznckt6RlToHgghSHUgxOFdpKdH1EUoZeZ_sfn17Ng_aem_BrAerxTFZmWwe6tQNwoPjA" TargetMode="External"/><Relationship Id="rId8" Type="http://schemas.openxmlformats.org/officeDocument/2006/relationships/hyperlink" Target="https://www.nutriklub.cz/vsechny-clanky/clanek/prvni-hodiny-po-porodu-s-miminkem.html?fbclid=IwY2xjawK0Ls5leHRuA2FlbQIxMABicmlkETFIdVhSVU9YQXQxMVRmNUI4AR6MfPkR0XYpkfe5hzdu37aRTXxXpSxKdI6krY1bdaK1sgRDxSPFp9oQdNIgUg_aem_v42BjM3uzTVhVJ_3tIK9rQ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z2Hz/VG67Jl4+u3OuBeSFYkwkw==">CgMxLjA4AHIhMW1ZTl9ZbUhUMGZLd21yQjNzVjVWRkVMc2NNSHZmdER4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2020-11-30T07:45:00Z</dcterms:created>
  <dc:creator>SpoKojení, z. s.</dc:creator>
</cp:coreProperties>
</file>